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245"/>
      </w:tblGrid>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KBB RESOURCES BERHAD (Company No.583565-U)</w:t>
            </w:r>
          </w:p>
        </w:tc>
      </w:tr>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CONDENSED CONSOLIDATED STATEMENT OF FINANCIAL POSITION</w:t>
            </w:r>
          </w:p>
        </w:tc>
      </w:tr>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AS AT 30 JUNE 2010</w:t>
            </w:r>
          </w:p>
        </w:tc>
      </w:tr>
    </w:tbl>
    <w:p w:rsidR="00E06E6E" w:rsidRPr="003875E6" w:rsidRDefault="00E06E6E" w:rsidP="003875E6">
      <w:pPr>
        <w:pStyle w:val="NoSpacing"/>
        <w:jc w:val="both"/>
        <w:rPr>
          <w:rFonts w:ascii="Times New Roman" w:hAnsi="Times New Roman"/>
          <w:sz w:val="24"/>
          <w:szCs w:val="24"/>
        </w:rPr>
      </w:pPr>
    </w:p>
    <w:tbl>
      <w:tblPr>
        <w:tblW w:w="9198" w:type="dxa"/>
        <w:tblLook w:val="00A0"/>
      </w:tblPr>
      <w:tblGrid>
        <w:gridCol w:w="5238"/>
        <w:gridCol w:w="2070"/>
        <w:gridCol w:w="1890"/>
      </w:tblGrid>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As at</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As at</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30.06.10</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31.12.09</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(Unaudited)</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(Audited)</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RM’000</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RM’000</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Non-Current 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Property, Plant and Equipment</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105,016</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113,837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Prepaid Land Lease Payments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3,994</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4,111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Intangible Assets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372</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374</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Investments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2,000</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111,382</w:t>
            </w:r>
          </w:p>
        </w:tc>
        <w:tc>
          <w:tcPr>
            <w:tcW w:w="189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120,322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Current 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Inventories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35,001</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56,553</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Trade Receivables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51,170</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51,389</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Receivables, Deposits and Prepayments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1,075</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1,160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Tax Recoverable</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281</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281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Fixed Deposit with Licensed Banks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Cash and Bank Balances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407</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897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87,959</w:t>
            </w:r>
          </w:p>
        </w:tc>
        <w:tc>
          <w:tcPr>
            <w:tcW w:w="189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110,305</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ASSETS</w:t>
            </w:r>
          </w:p>
        </w:tc>
        <w:tc>
          <w:tcPr>
            <w:tcW w:w="207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199,341</w:t>
            </w:r>
          </w:p>
        </w:tc>
        <w:tc>
          <w:tcPr>
            <w:tcW w:w="189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230,627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EQUITY AND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Share Capital</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Exchange Translation Reserve</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(3,887)</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(3,412)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Retained Profits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5,343</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34,504</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Equity</w:t>
            </w: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61,456</w:t>
            </w:r>
          </w:p>
        </w:tc>
        <w:tc>
          <w:tcPr>
            <w:tcW w:w="189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91,092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Non-Current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22,411</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22,926</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Deferred Tax Liabilities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2,960</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2,960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25,371</w:t>
            </w:r>
          </w:p>
        </w:tc>
        <w:tc>
          <w:tcPr>
            <w:tcW w:w="189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25,886</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Current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Trade Payables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7,007</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5,691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Payables and Accruals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5,335</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4,917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99,299</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102,012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Provision for Taxation</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873</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1,029</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112,514</w:t>
            </w:r>
          </w:p>
        </w:tc>
        <w:tc>
          <w:tcPr>
            <w:tcW w:w="189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113,649</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Liabilities</w:t>
            </w: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137,885</w:t>
            </w:r>
          </w:p>
        </w:tc>
        <w:tc>
          <w:tcPr>
            <w:tcW w:w="189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139,535</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EQUITY AND LIABILITIES</w:t>
            </w:r>
          </w:p>
        </w:tc>
        <w:tc>
          <w:tcPr>
            <w:tcW w:w="207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199,341</w:t>
            </w:r>
          </w:p>
        </w:tc>
        <w:tc>
          <w:tcPr>
            <w:tcW w:w="189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230,627</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Assets Per Ordinary Share Attributable to Ordinary Equity Shareholders (RM)</w:t>
            </w:r>
          </w:p>
        </w:tc>
        <w:tc>
          <w:tcPr>
            <w:tcW w:w="2070" w:type="dxa"/>
            <w:tcBorders>
              <w:top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0.51</w:t>
            </w:r>
          </w:p>
          <w:p w:rsidR="00E06E6E" w:rsidRPr="00692A56" w:rsidRDefault="00E06E6E" w:rsidP="00C85C97">
            <w:pPr>
              <w:pStyle w:val="NoSpacing"/>
              <w:jc w:val="right"/>
              <w:rPr>
                <w:rFonts w:ascii="Times New Roman" w:hAnsi="Times New Roman"/>
                <w:b/>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0.76</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Financial Position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COMPREHENSIVE INCOME</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t>FOR THE PERIOD ENDED 30 JUNE 2010</w:t>
            </w:r>
          </w:p>
        </w:tc>
      </w:tr>
    </w:tbl>
    <w:p w:rsidR="00E06E6E" w:rsidRPr="00692A56" w:rsidRDefault="00E06E6E" w:rsidP="003875E6">
      <w:pPr>
        <w:pStyle w:val="NoSpacing"/>
        <w:jc w:val="both"/>
        <w:rPr>
          <w:rFonts w:ascii="Times New Roman" w:hAnsi="Times New Roman"/>
          <w:sz w:val="24"/>
          <w:szCs w:val="24"/>
        </w:rPr>
      </w:pPr>
    </w:p>
    <w:tbl>
      <w:tblPr>
        <w:tblW w:w="9918" w:type="dxa"/>
        <w:tblLayout w:type="fixed"/>
        <w:tblLook w:val="00A0"/>
      </w:tblPr>
      <w:tblGrid>
        <w:gridCol w:w="3258"/>
        <w:gridCol w:w="1710"/>
        <w:gridCol w:w="1800"/>
        <w:gridCol w:w="1530"/>
        <w:gridCol w:w="1620"/>
      </w:tblGrid>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Individual Quarter</w:t>
            </w:r>
          </w:p>
        </w:tc>
        <w:tc>
          <w:tcPr>
            <w:tcW w:w="1530" w:type="dxa"/>
          </w:tcPr>
          <w:p w:rsidR="00E06E6E" w:rsidRPr="00692A56" w:rsidRDefault="00E06E6E" w:rsidP="00C85C97">
            <w:pPr>
              <w:pStyle w:val="NoSpacing"/>
              <w:jc w:val="right"/>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Cumulative Quarter</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Quarter</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30.06.09</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30.06.09</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Revenue</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46,555</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54,547</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100,511</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98,712</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Cost of Sales</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(60,417)</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(48,452)</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(108,568)</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(86,617)</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Gross Profit</w:t>
            </w:r>
          </w:p>
        </w:tc>
        <w:tc>
          <w:tcPr>
            <w:tcW w:w="171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(13,862)</w:t>
            </w:r>
          </w:p>
        </w:tc>
        <w:tc>
          <w:tcPr>
            <w:tcW w:w="180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6,095</w:t>
            </w:r>
          </w:p>
        </w:tc>
        <w:tc>
          <w:tcPr>
            <w:tcW w:w="153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(8,057)</w:t>
            </w:r>
          </w:p>
        </w:tc>
        <w:tc>
          <w:tcPr>
            <w:tcW w:w="162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12,095</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Income</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19</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472</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476</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Administrative Expenses</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(11,456)</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(1,022)</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(12,564)</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(2,034)</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Selling and Distribution Expenses</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(2,429)</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(2,302)</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(4,768)</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(4,319)</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Operating Profit</w:t>
            </w:r>
          </w:p>
        </w:tc>
        <w:tc>
          <w:tcPr>
            <w:tcW w:w="171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(27,728)</w:t>
            </w:r>
          </w:p>
        </w:tc>
        <w:tc>
          <w:tcPr>
            <w:tcW w:w="180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3,243</w:t>
            </w:r>
          </w:p>
        </w:tc>
        <w:tc>
          <w:tcPr>
            <w:tcW w:w="153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(25,364)</w:t>
            </w:r>
          </w:p>
        </w:tc>
        <w:tc>
          <w:tcPr>
            <w:tcW w:w="162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6,218</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Finance Costs</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(1,862)</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(1,718)</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(3,355)</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(3,417)</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(Loss)/Profit Before Taxation</w:t>
            </w:r>
          </w:p>
        </w:tc>
        <w:tc>
          <w:tcPr>
            <w:tcW w:w="171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(29,590)</w:t>
            </w:r>
          </w:p>
        </w:tc>
        <w:tc>
          <w:tcPr>
            <w:tcW w:w="180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1,525</w:t>
            </w:r>
          </w:p>
        </w:tc>
        <w:tc>
          <w:tcPr>
            <w:tcW w:w="153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(28,719)</w:t>
            </w:r>
          </w:p>
        </w:tc>
        <w:tc>
          <w:tcPr>
            <w:tcW w:w="162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2,801</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Taxation</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(249)</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(476)</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(442)</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(589)</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(Loss)/Profit for the Period</w:t>
            </w:r>
          </w:p>
        </w:tc>
        <w:tc>
          <w:tcPr>
            <w:tcW w:w="171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(29,839)</w:t>
            </w:r>
          </w:p>
        </w:tc>
        <w:tc>
          <w:tcPr>
            <w:tcW w:w="180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1,049</w:t>
            </w:r>
          </w:p>
        </w:tc>
        <w:tc>
          <w:tcPr>
            <w:tcW w:w="153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(29,161)</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2,212</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62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Earnings Per Share</w:t>
            </w: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Basic (sen)</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(24.87)</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0.87</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(24.30)</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1.84</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Diluted (sen)</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Comprehensive Income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CHANGES IN EQUITY</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t>FOR THE PERIOD ENDED 30 JUNE 2010</w:t>
            </w:r>
          </w:p>
        </w:tc>
      </w:tr>
    </w:tbl>
    <w:p w:rsidR="00E06E6E" w:rsidRPr="00692A56" w:rsidRDefault="00E06E6E" w:rsidP="003875E6">
      <w:pPr>
        <w:pStyle w:val="NoSpacing"/>
        <w:jc w:val="both"/>
        <w:rPr>
          <w:rFonts w:ascii="Times New Roman" w:hAnsi="Times New Roman"/>
          <w:sz w:val="24"/>
          <w:szCs w:val="24"/>
        </w:rPr>
      </w:pPr>
    </w:p>
    <w:tbl>
      <w:tblPr>
        <w:tblW w:w="9335" w:type="dxa"/>
        <w:tblLook w:val="00A0"/>
      </w:tblPr>
      <w:tblGrid>
        <w:gridCol w:w="3258"/>
        <w:gridCol w:w="1620"/>
        <w:gridCol w:w="1530"/>
        <w:gridCol w:w="1470"/>
        <w:gridCol w:w="1457"/>
      </w:tblGrid>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Non-Distributable</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Distributable</w:t>
            </w: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Share Capital</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Exchange Translation Reserve</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Retained Profits</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Equity</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1 January 2010</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(3,412)</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34,504</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91,092</w:t>
            </w: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Foreign Currency Translation</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(475)</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(475)</w:t>
            </w: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 for the Period</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(29,161)</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(29,161)</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4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457"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30 June 2010</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(3,887)</w:t>
            </w:r>
          </w:p>
        </w:tc>
        <w:tc>
          <w:tcPr>
            <w:tcW w:w="147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5,343</w:t>
            </w:r>
          </w:p>
        </w:tc>
        <w:tc>
          <w:tcPr>
            <w:tcW w:w="1457"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61,456</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47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457"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Non-Distributable</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Distributable</w:t>
            </w: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Share Capital</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Exchange Translation Reserve</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Retained Profits</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Equity</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C85C97">
        <w:tc>
          <w:tcPr>
            <w:tcW w:w="325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1 January 2009</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(8,737)</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30,022</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81,285</w:t>
            </w: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Foreign Currency Translation</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4,399</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4,399</w:t>
            </w: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Profit for the Period</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2,212</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2,212</w:t>
            </w:r>
          </w:p>
        </w:tc>
      </w:tr>
      <w:tr w:rsidR="00E06E6E" w:rsidRPr="00692A56" w:rsidTr="00011AEB">
        <w:tc>
          <w:tcPr>
            <w:tcW w:w="325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30 June 2009</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(4,338)</w:t>
            </w:r>
          </w:p>
        </w:tc>
        <w:tc>
          <w:tcPr>
            <w:tcW w:w="147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32,234</w:t>
            </w:r>
          </w:p>
        </w:tc>
        <w:tc>
          <w:tcPr>
            <w:tcW w:w="1457"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87,896</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Changes in Equity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CASH FLOWS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t>FOR THE PERIOD ENDED 30 JUNE 2010</w:t>
            </w:r>
          </w:p>
        </w:tc>
      </w:tr>
    </w:tbl>
    <w:p w:rsidR="00E06E6E" w:rsidRPr="00692A56" w:rsidRDefault="00E06E6E" w:rsidP="003875E6">
      <w:pPr>
        <w:pStyle w:val="NoSpacing"/>
        <w:jc w:val="both"/>
        <w:rPr>
          <w:rFonts w:ascii="Times New Roman" w:hAnsi="Times New Roman"/>
          <w:sz w:val="24"/>
          <w:szCs w:val="24"/>
        </w:rPr>
      </w:pPr>
    </w:p>
    <w:tbl>
      <w:tblPr>
        <w:tblW w:w="9648" w:type="dxa"/>
        <w:tblLayout w:type="fixed"/>
        <w:tblLook w:val="00A0"/>
      </w:tblPr>
      <w:tblGrid>
        <w:gridCol w:w="5958"/>
        <w:gridCol w:w="1890"/>
        <w:gridCol w:w="1800"/>
      </w:tblGrid>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30.06.09</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OPERATING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Receipts from Operations</w:t>
            </w:r>
          </w:p>
        </w:tc>
        <w:tc>
          <w:tcPr>
            <w:tcW w:w="1890" w:type="dxa"/>
            <w:tcBorders>
              <w:top w:val="single" w:sz="4" w:space="0" w:color="auto"/>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100,755</w:t>
            </w:r>
          </w:p>
        </w:tc>
        <w:tc>
          <w:tcPr>
            <w:tcW w:w="1800" w:type="dxa"/>
            <w:tcBorders>
              <w:top w:val="single" w:sz="4" w:space="0" w:color="auto"/>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100,613</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Payment to Suppliers and Employees</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(86,745)</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(90,913)</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Income Tax Paid</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(840)</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(322)</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Interest Paid</w:t>
            </w:r>
          </w:p>
        </w:tc>
        <w:tc>
          <w:tcPr>
            <w:tcW w:w="1890" w:type="dxa"/>
            <w:tcBorders>
              <w:left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(3,355)</w:t>
            </w:r>
          </w:p>
        </w:tc>
        <w:tc>
          <w:tcPr>
            <w:tcW w:w="1800" w:type="dxa"/>
            <w:tcBorders>
              <w:bottom w:val="single" w:sz="4" w:space="0" w:color="auto"/>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(3,417)</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from Operating Activities</w:t>
            </w:r>
          </w:p>
        </w:tc>
        <w:tc>
          <w:tcPr>
            <w:tcW w:w="189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9,815</w:t>
            </w:r>
          </w:p>
        </w:tc>
        <w:tc>
          <w:tcPr>
            <w:tcW w:w="180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5,961</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INVESTING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Purchase of Property, Plant and Equipment</w:t>
            </w:r>
          </w:p>
        </w:tc>
        <w:tc>
          <w:tcPr>
            <w:tcW w:w="1890" w:type="dxa"/>
            <w:tcBorders>
              <w:top w:val="single" w:sz="4" w:space="0" w:color="auto"/>
              <w:left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(7,106)</w:t>
            </w:r>
          </w:p>
        </w:tc>
        <w:tc>
          <w:tcPr>
            <w:tcW w:w="1800" w:type="dxa"/>
            <w:tcBorders>
              <w:top w:val="single" w:sz="4" w:space="0" w:color="auto"/>
              <w:bottom w:val="single" w:sz="4" w:space="0" w:color="auto"/>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(3,117)</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Used in Investing Activities</w:t>
            </w:r>
          </w:p>
        </w:tc>
        <w:tc>
          <w:tcPr>
            <w:tcW w:w="189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(7,106)</w:t>
            </w:r>
          </w:p>
        </w:tc>
        <w:tc>
          <w:tcPr>
            <w:tcW w:w="180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(3,117)</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FINANCING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Bankers Acceptance</w:t>
            </w:r>
          </w:p>
        </w:tc>
        <w:tc>
          <w:tcPr>
            <w:tcW w:w="1890" w:type="dxa"/>
            <w:tcBorders>
              <w:top w:val="single" w:sz="4" w:space="0" w:color="auto"/>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(2,939)</w:t>
            </w:r>
          </w:p>
        </w:tc>
        <w:tc>
          <w:tcPr>
            <w:tcW w:w="1800" w:type="dxa"/>
            <w:tcBorders>
              <w:top w:val="single" w:sz="4" w:space="0" w:color="auto"/>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(4,630)</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Islamic Acceptance Bills</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(84)</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9,620</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Proceeds from Hire Purchase Payables</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287</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183</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Repayment of Hire Purchase Payables</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Repayment of Term Loan</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(583)</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(470)</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Revolving Credit</w:t>
            </w:r>
          </w:p>
        </w:tc>
        <w:tc>
          <w:tcPr>
            <w:tcW w:w="1890" w:type="dxa"/>
            <w:tcBorders>
              <w:left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00" w:type="dxa"/>
            <w:tcBorders>
              <w:bottom w:val="single" w:sz="4" w:space="0" w:color="auto"/>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(2,400)</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(Used in)/from Financing Activities</w:t>
            </w:r>
          </w:p>
        </w:tc>
        <w:tc>
          <w:tcPr>
            <w:tcW w:w="189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(3,519)</w:t>
            </w:r>
          </w:p>
        </w:tc>
        <w:tc>
          <w:tcPr>
            <w:tcW w:w="1800" w:type="dxa"/>
            <w:tcBorders>
              <w:top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2,303</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(Decrease)/Increase in Cash and Cash Equivalents</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(810)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5,147</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Effects of Foreign Exchange Rates Changes</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30</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(4,524)</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and Cash Equivalents at Beginning</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(2,372)</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(268)</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and Cash Equivalents at End</w:t>
            </w:r>
          </w:p>
        </w:tc>
        <w:tc>
          <w:tcPr>
            <w:tcW w:w="189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(3,152)</w:t>
            </w:r>
          </w:p>
        </w:tc>
        <w:tc>
          <w:tcPr>
            <w:tcW w:w="180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355</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Represented by:-</w:t>
            </w:r>
          </w:p>
        </w:tc>
        <w:tc>
          <w:tcPr>
            <w:tcW w:w="1890" w:type="dxa"/>
          </w:tcPr>
          <w:p w:rsidR="00E06E6E" w:rsidRPr="00692A56" w:rsidRDefault="00E06E6E" w:rsidP="00C85C97">
            <w:pPr>
              <w:pStyle w:val="NoSpacing"/>
              <w:jc w:val="right"/>
              <w:rPr>
                <w:rFonts w:ascii="Times New Roman" w:hAnsi="Times New Roman"/>
                <w:b/>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Fixed Deposits with Licensed Banks</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Cash and Bank Balances</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407</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3,108</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Bank Overdrafts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(3,584)</w:t>
            </w: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(2,753)</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(3,152)</w:t>
            </w:r>
          </w:p>
        </w:tc>
        <w:tc>
          <w:tcPr>
            <w:tcW w:w="180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355</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Cash Flows should be read in conjunction with the Audited Financial Statements for the financial year ended 31 December 2009 and the accompanying explanatory notes attached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NOTES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0765FF">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Basis of Preparation</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The interim financial report is unaudited and has been prepared in compliance with Financial Reporting Standard (“FRS”) 134: “Interim Financial Reporting” and Chapter 9 Part K Paragraph 9.22 of the Listing Requirements of Bursa Malaysia Securities Berhad (“Bursa Malaysia”).</w:t>
      </w:r>
    </w:p>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The interim financial statements should be read in conjunction with the unaudited financial statements for the financial year ended 31 December 2009 and the accompanying notes attached to the interim financial statements. The interim financial statements contain condensed consolidated financial statements and selected explanatory notes. The notes provide an explanation of events and transactions that are significant to an understanding of the changes in the financial position and performance of KBB Resources Berhad (“KBB” or the “Company”) and its wholly-owned subsidiary companies (hereinafter referred to as the “Group”) since the financial year ended 31 December 2009.</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Accounting Policies</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The accounting policies adopted by the Group in the interim financial statements are consistent with those adopted in the audited financial statements for the financial year ended 31 December 2009 except for the adoption of new and revised Financial Reporting Standards (“FRS”), Amendments to FRSs and Interpretations effective for financial periods beginning 1</w:t>
      </w:r>
      <w:r w:rsidRPr="00692A56">
        <w:rPr>
          <w:rFonts w:ascii="Times New Roman" w:hAnsi="Times New Roman"/>
          <w:sz w:val="24"/>
          <w:szCs w:val="24"/>
          <w:vertAlign w:val="superscript"/>
        </w:rPr>
        <w:t>st</w:t>
      </w:r>
      <w:r w:rsidRPr="00692A56">
        <w:rPr>
          <w:rFonts w:ascii="Times New Roman" w:hAnsi="Times New Roman"/>
          <w:sz w:val="24"/>
          <w:szCs w:val="24"/>
        </w:rPr>
        <w:t xml:space="preserve"> March 2010 and 1</w:t>
      </w:r>
      <w:r w:rsidRPr="00692A56">
        <w:rPr>
          <w:rFonts w:ascii="Times New Roman" w:hAnsi="Times New Roman"/>
          <w:sz w:val="24"/>
          <w:szCs w:val="24"/>
          <w:vertAlign w:val="superscript"/>
        </w:rPr>
        <w:t>st</w:t>
      </w:r>
      <w:r w:rsidRPr="00692A56">
        <w:rPr>
          <w:rFonts w:ascii="Times New Roman" w:hAnsi="Times New Roman"/>
          <w:sz w:val="24"/>
          <w:szCs w:val="24"/>
        </w:rPr>
        <w:t xml:space="preserve"> July 2010 as disclosed below:-</w:t>
      </w:r>
    </w:p>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On 1</w:t>
      </w:r>
      <w:r w:rsidRPr="00692A56">
        <w:rPr>
          <w:rFonts w:ascii="Times New Roman" w:hAnsi="Times New Roman"/>
          <w:sz w:val="24"/>
          <w:szCs w:val="24"/>
          <w:vertAlign w:val="superscript"/>
        </w:rPr>
        <w:t>st</w:t>
      </w:r>
      <w:r w:rsidRPr="00692A56">
        <w:rPr>
          <w:rFonts w:ascii="Times New Roman" w:hAnsi="Times New Roman"/>
          <w:sz w:val="24"/>
          <w:szCs w:val="24"/>
        </w:rPr>
        <w:t xml:space="preserve"> January 2010, the Group adopted the following FRS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2808"/>
        <w:gridCol w:w="5670"/>
        <w:gridCol w:w="47"/>
      </w:tblGrid>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4</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Insurance Contracts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Disclosures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Operating Segments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101</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Presentation of Financial Statements (as revised in 2009)</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123</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 Costs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139</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Recognition and Measurement</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 and FRS 127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First-time Adoption of Financial Reporting Standards and Consolidated and Separate Financial Statements: Cost of an Investment in a Subsidiary, Jointly Controlled Entity or Associate</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2</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Share-based Payment: Vesting Conditions and Cancellations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5</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Non-Current Assets Held for Sale and Discontinued Operations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Disclosures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Operating Segments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107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Statement of Cash Flows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108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Accounting Policies, Changes in Accounting Estimates and Errors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NOTES TO THE INTERIM FINANCIAL STATEMENTS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E06E6E" w:rsidRPr="00692A56" w:rsidRDefault="00E06E6E" w:rsidP="00217E70">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rPr>
            </w:pPr>
            <w:r w:rsidRPr="00692A56">
              <w:rPr>
                <w:rFonts w:ascii="Times New Roman" w:hAnsi="Times New Roman"/>
                <w:b/>
              </w:rPr>
              <w:t>PART A: EXPLANATORY NOTES PURSUANT TO THE FINANCIAL REPORTING STANDARD (“FRS”) 134: INTERIM FINANCIAL REPORTING</w:t>
            </w:r>
          </w:p>
        </w:tc>
      </w:tr>
    </w:tbl>
    <w:p w:rsidR="00E06E6E" w:rsidRPr="00692A56" w:rsidRDefault="00E06E6E" w:rsidP="000765FF">
      <w:pPr>
        <w:pStyle w:val="NoSpacing"/>
        <w:ind w:left="720"/>
        <w:jc w:val="both"/>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5670"/>
        <w:gridCol w:w="18"/>
      </w:tblGrid>
      <w:tr w:rsidR="00E06E6E" w:rsidRPr="00692A56" w:rsidTr="00C85C97">
        <w:trPr>
          <w:gridAfter w:val="1"/>
          <w:wAfter w:w="18"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110</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rPr>
            </w:pPr>
            <w:r w:rsidRPr="00692A56">
              <w:rPr>
                <w:rFonts w:ascii="Times New Roman" w:hAnsi="Times New Roman"/>
              </w:rPr>
              <w:t>Event after the Reporting Period</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Property, Plant and Equipment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117</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Leases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Revenue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Employee Benefits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Accounting for Government Grants and Disclosure of Government Assistance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123</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Borrowings Costs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Investment in Associates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Reporting in Hyperinflationary Economies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131</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Interests in Joint Ventures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Presentation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134</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Interim Financial Reporting</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Impairment of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Intangible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F14F9A">
            <w:pPr>
              <w:pStyle w:val="NoSpacing"/>
              <w:rPr>
                <w:rFonts w:ascii="Times New Roman" w:hAnsi="Times New Roman"/>
              </w:rPr>
            </w:pPr>
            <w:r w:rsidRPr="00692A56">
              <w:rPr>
                <w:rFonts w:ascii="Times New Roman" w:hAnsi="Times New Roman"/>
              </w:rPr>
              <w:t xml:space="preserve">Amendment to FRS 139, FRS 7 and </w:t>
            </w:r>
          </w:p>
          <w:p w:rsidR="00E06E6E" w:rsidRPr="00692A56" w:rsidRDefault="00E06E6E" w:rsidP="00F14F9A">
            <w:pPr>
              <w:pStyle w:val="NoSpacing"/>
              <w:rPr>
                <w:rFonts w:ascii="Times New Roman" w:hAnsi="Times New Roman"/>
              </w:rPr>
            </w:pPr>
            <w:r w:rsidRPr="00692A56">
              <w:rPr>
                <w:rFonts w:ascii="Times New Roman" w:hAnsi="Times New Roman"/>
              </w:rPr>
              <w:t>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Recognition and Measurement, Disclosures and 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140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Investment Property</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FRSs</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Improvement to FRSs (2009)</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IC Interpretation 10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Interim Financial Reporting and Impairment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11</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FRS 2 – Group and Treasury Share Transactions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13</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Customer Loyalty Programmes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14</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FRS 119 – The Limit on a Defined Benefit Asset, Minimum Funding Requirements and their Interaction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Presentation (The amendments in Paragraphs 11, 16 and 97E of the Standard, relating to Classification of Rights Issues)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1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First-time Adoption of Financial Reporting Standards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3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Business Combinations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127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Consolidated and Separate Financial Statements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Service Concession Arrangements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 IC Interpretation 15 </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Agreements for the Construction of Real Estate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 IC Interpretation 16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Hedges of a Net Investment in a Foreign Operation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17</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Distributions of Non-cash Assets to Owners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Share-based payment: Vesting Conditions and Cancellations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5</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Non-current Assets Held for Sale and Discontinued Operations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Intangible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Recognition and Measurement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695BB7">
            <w:pPr>
              <w:pStyle w:val="NoSpacing"/>
              <w:rPr>
                <w:rFonts w:ascii="Times New Roman" w:hAnsi="Times New Roman"/>
              </w:rPr>
            </w:pPr>
            <w:r w:rsidRPr="00692A56">
              <w:rPr>
                <w:rFonts w:ascii="Times New Roman" w:hAnsi="Times New Roman"/>
              </w:rPr>
              <w:t xml:space="preserve">* Amendment to </w:t>
            </w:r>
          </w:p>
          <w:p w:rsidR="00E06E6E" w:rsidRPr="00692A56" w:rsidRDefault="00E06E6E" w:rsidP="00695BB7">
            <w:pPr>
              <w:pStyle w:val="NoSpacing"/>
              <w:rPr>
                <w:rFonts w:ascii="Times New Roman" w:hAnsi="Times New Roman"/>
              </w:rPr>
            </w:pPr>
            <w:r w:rsidRPr="00692A56">
              <w:rPr>
                <w:rFonts w:ascii="Times New Roman" w:hAnsi="Times New Roman"/>
              </w:rPr>
              <w:t>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808" w:type="dxa"/>
          </w:tcPr>
          <w:p w:rsidR="00E06E6E" w:rsidRPr="00692A56" w:rsidRDefault="00E06E6E" w:rsidP="00695BB7">
            <w:pPr>
              <w:pStyle w:val="NoSpacing"/>
              <w:rPr>
                <w:rFonts w:ascii="Times New Roman" w:hAnsi="Times New Roman"/>
              </w:rPr>
            </w:pPr>
          </w:p>
        </w:tc>
        <w:tc>
          <w:tcPr>
            <w:tcW w:w="5670" w:type="dxa"/>
            <w:gridSpan w:val="2"/>
          </w:tcPr>
          <w:p w:rsidR="00E06E6E" w:rsidRPr="00692A56" w:rsidRDefault="00E06E6E" w:rsidP="00C85C97">
            <w:pPr>
              <w:pStyle w:val="NoSpacing"/>
              <w:jc w:val="both"/>
              <w:rPr>
                <w:rFonts w:ascii="Times New Roman" w:hAnsi="Times New Roman"/>
              </w:rPr>
            </w:pPr>
          </w:p>
        </w:tc>
      </w:tr>
    </w:tbl>
    <w:p w:rsidR="00E06E6E" w:rsidRPr="00692A56" w:rsidRDefault="00E06E6E" w:rsidP="000765FF">
      <w:pPr>
        <w:pStyle w:val="NoSpacing"/>
        <w:ind w:left="720"/>
        <w:jc w:val="both"/>
        <w:rPr>
          <w:rFonts w:ascii="Times New Roman" w:hAnsi="Times New Roman"/>
        </w:rPr>
      </w:pPr>
      <w:r w:rsidRPr="00692A56">
        <w:rPr>
          <w:rFonts w:ascii="Times New Roman" w:hAnsi="Times New Roman"/>
        </w:rPr>
        <w:t>* Not applicable to the Group.</w:t>
      </w:r>
    </w:p>
    <w:p w:rsidR="00E06E6E" w:rsidRPr="00692A56" w:rsidRDefault="00E06E6E" w:rsidP="00842FCE">
      <w:pPr>
        <w:pStyle w:val="NoSpacing"/>
        <w:ind w:left="900"/>
        <w:jc w:val="both"/>
        <w:rPr>
          <w:rFonts w:ascii="Times New Roman" w:hAnsi="Times New Roman"/>
        </w:rPr>
      </w:pPr>
    </w:p>
    <w:p w:rsidR="00E06E6E" w:rsidRPr="00692A56" w:rsidRDefault="00E06E6E" w:rsidP="00842FCE">
      <w:pPr>
        <w:pStyle w:val="NoSpacing"/>
        <w:ind w:left="900"/>
        <w:jc w:val="both"/>
        <w:rPr>
          <w:rFonts w:ascii="Times New Roman" w:hAnsi="Times New Roman"/>
        </w:rPr>
      </w:pPr>
      <w:r w:rsidRPr="00692A56">
        <w:rPr>
          <w:rFonts w:ascii="Times New Roman" w:hAnsi="Times New Roman"/>
        </w:rPr>
        <w:t>The adoption of the above new and revised FRSs, Amendments to FRSs and Interpretations do not have significant impact on the financial statements of the Group.</w:t>
      </w:r>
    </w:p>
    <w:p w:rsidR="00E06E6E" w:rsidRPr="00692A56" w:rsidRDefault="00E06E6E" w:rsidP="000765FF">
      <w:pPr>
        <w:pStyle w:val="NoSpacing"/>
        <w:ind w:left="720"/>
        <w:jc w:val="both"/>
        <w:rPr>
          <w:rFonts w:ascii="Times New Roman" w:hAnsi="Times New Roman"/>
        </w:rPr>
      </w:pPr>
    </w:p>
    <w:p w:rsidR="00E06E6E" w:rsidRPr="00692A56" w:rsidRDefault="00E06E6E" w:rsidP="000765FF">
      <w:pPr>
        <w:pStyle w:val="NoSpacing"/>
        <w:ind w:left="720"/>
        <w:jc w:val="both"/>
        <w:rPr>
          <w:rFonts w:ascii="Times New Roman" w:hAnsi="Times New Roman"/>
        </w:rPr>
      </w:pPr>
    </w:p>
    <w:p w:rsidR="00E06E6E" w:rsidRPr="00692A56" w:rsidRDefault="00E06E6E" w:rsidP="000765FF">
      <w:pPr>
        <w:pStyle w:val="NoSpacing"/>
        <w:ind w:left="720"/>
        <w:jc w:val="both"/>
        <w:rPr>
          <w:rFonts w:ascii="Times New Roman" w:hAnsi="Times New Roman"/>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E06E6E" w:rsidRPr="00692A56" w:rsidRDefault="00E06E6E" w:rsidP="00695BB7">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8830F2">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Seasonal or Cyclical Factors</w:t>
      </w:r>
    </w:p>
    <w:p w:rsidR="00E06E6E" w:rsidRPr="00692A56" w:rsidRDefault="00E06E6E" w:rsidP="008830F2">
      <w:pPr>
        <w:pStyle w:val="NoSpacing"/>
        <w:jc w:val="both"/>
        <w:rPr>
          <w:rFonts w:ascii="Times New Roman" w:hAnsi="Times New Roman"/>
          <w:sz w:val="24"/>
          <w:szCs w:val="24"/>
        </w:rPr>
      </w:pPr>
    </w:p>
    <w:p w:rsidR="00E06E6E" w:rsidRPr="00692A56" w:rsidRDefault="00E06E6E" w:rsidP="008830F2">
      <w:pPr>
        <w:pStyle w:val="NoSpacing"/>
        <w:ind w:left="720"/>
        <w:jc w:val="both"/>
        <w:rPr>
          <w:rFonts w:ascii="Times New Roman" w:hAnsi="Times New Roman"/>
          <w:sz w:val="24"/>
          <w:szCs w:val="24"/>
        </w:rPr>
      </w:pPr>
      <w:r w:rsidRPr="00692A56">
        <w:rPr>
          <w:rFonts w:ascii="Times New Roman" w:hAnsi="Times New Roman"/>
          <w:sz w:val="24"/>
          <w:szCs w:val="24"/>
        </w:rPr>
        <w:t>The Group’s performance is not significantly affected by any seasonal or cyclical factors.</w:t>
      </w:r>
    </w:p>
    <w:p w:rsidR="00E06E6E" w:rsidRPr="00692A56" w:rsidRDefault="00E06E6E" w:rsidP="008830F2">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Unusual Items Affecting Assets, Liabilities, Equity, Net Income or Cash Flows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unusual items affecting assets, liabilities, equity, net income or cash flows during the current quarter and financial year-to-date except the following items :-</w:t>
      </w: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6D1CB8">
      <w:pPr>
        <w:pStyle w:val="NoSpacing"/>
        <w:tabs>
          <w:tab w:val="decimal" w:pos="7920"/>
        </w:tabs>
        <w:ind w:left="720"/>
        <w:jc w:val="both"/>
        <w:rPr>
          <w:rFonts w:ascii="Times New Roman" w:hAnsi="Times New Roman"/>
          <w:b/>
          <w:sz w:val="24"/>
          <w:szCs w:val="24"/>
          <w:u w:val="single"/>
        </w:rPr>
      </w:pPr>
      <w:r w:rsidRPr="00692A56">
        <w:rPr>
          <w:rFonts w:ascii="Times New Roman" w:hAnsi="Times New Roman"/>
          <w:sz w:val="24"/>
          <w:szCs w:val="24"/>
        </w:rPr>
        <w:tab/>
      </w:r>
      <w:r w:rsidRPr="00692A56">
        <w:rPr>
          <w:rFonts w:ascii="Times New Roman" w:hAnsi="Times New Roman"/>
          <w:b/>
          <w:sz w:val="24"/>
          <w:szCs w:val="24"/>
          <w:u w:val="single"/>
        </w:rPr>
        <w:t>RM’000</w:t>
      </w:r>
    </w:p>
    <w:p w:rsidR="00E06E6E" w:rsidRPr="00692A56" w:rsidRDefault="00E06E6E" w:rsidP="006F2CD3">
      <w:pPr>
        <w:pStyle w:val="NoSpacing"/>
        <w:numPr>
          <w:ilvl w:val="0"/>
          <w:numId w:val="5"/>
        </w:numPr>
        <w:tabs>
          <w:tab w:val="decimal" w:pos="7920"/>
        </w:tabs>
        <w:jc w:val="both"/>
        <w:rPr>
          <w:rFonts w:ascii="Times New Roman" w:hAnsi="Times New Roman"/>
          <w:sz w:val="24"/>
          <w:szCs w:val="24"/>
        </w:rPr>
      </w:pPr>
      <w:r w:rsidRPr="00692A56">
        <w:rPr>
          <w:rFonts w:ascii="Times New Roman" w:hAnsi="Times New Roman"/>
          <w:sz w:val="24"/>
          <w:szCs w:val="24"/>
        </w:rPr>
        <w:t>Provision of obsolesces stock</w:t>
      </w:r>
      <w:r w:rsidRPr="00692A56">
        <w:rPr>
          <w:rFonts w:ascii="Times New Roman" w:hAnsi="Times New Roman"/>
          <w:sz w:val="24"/>
          <w:szCs w:val="24"/>
        </w:rPr>
        <w:tab/>
        <w:t>20,007</w:t>
      </w:r>
    </w:p>
    <w:p w:rsidR="00E06E6E" w:rsidRPr="00692A56" w:rsidRDefault="00E06E6E" w:rsidP="006D1CB8">
      <w:pPr>
        <w:pStyle w:val="NoSpacing"/>
        <w:numPr>
          <w:ilvl w:val="0"/>
          <w:numId w:val="5"/>
        </w:numPr>
        <w:tabs>
          <w:tab w:val="decimal" w:pos="7920"/>
        </w:tabs>
        <w:jc w:val="both"/>
        <w:rPr>
          <w:rFonts w:ascii="Times New Roman" w:hAnsi="Times New Roman"/>
          <w:sz w:val="24"/>
          <w:szCs w:val="24"/>
        </w:rPr>
      </w:pPr>
      <w:r w:rsidRPr="00692A56">
        <w:rPr>
          <w:rFonts w:ascii="Times New Roman" w:hAnsi="Times New Roman"/>
          <w:sz w:val="24"/>
          <w:szCs w:val="24"/>
        </w:rPr>
        <w:t>Impairment for Plant &amp; equipment in Indonesia Subsidiary,</w:t>
      </w:r>
    </w:p>
    <w:p w:rsidR="00E06E6E" w:rsidRPr="00692A56" w:rsidRDefault="00E06E6E" w:rsidP="005C49BB">
      <w:pPr>
        <w:pStyle w:val="NoSpacing"/>
        <w:tabs>
          <w:tab w:val="decimal" w:pos="7920"/>
        </w:tabs>
        <w:ind w:left="1080"/>
        <w:jc w:val="both"/>
        <w:rPr>
          <w:rFonts w:ascii="Times New Roman" w:hAnsi="Times New Roman"/>
          <w:sz w:val="24"/>
          <w:szCs w:val="24"/>
        </w:rPr>
      </w:pPr>
      <w:r w:rsidRPr="00692A56">
        <w:rPr>
          <w:rFonts w:ascii="Times New Roman" w:hAnsi="Times New Roman"/>
          <w:sz w:val="24"/>
          <w:szCs w:val="24"/>
        </w:rPr>
        <w:t>PT BIFI</w:t>
      </w:r>
      <w:r w:rsidRPr="00692A56">
        <w:rPr>
          <w:rFonts w:ascii="Times New Roman" w:hAnsi="Times New Roman"/>
          <w:sz w:val="24"/>
          <w:szCs w:val="24"/>
        </w:rPr>
        <w:tab/>
        <w:t>9,991</w:t>
      </w:r>
    </w:p>
    <w:p w:rsidR="00E06E6E" w:rsidRPr="00692A56" w:rsidRDefault="00E06E6E" w:rsidP="005C49BB">
      <w:pPr>
        <w:pStyle w:val="NoSpacing"/>
        <w:tabs>
          <w:tab w:val="decimal" w:pos="7920"/>
        </w:tabs>
        <w:ind w:left="108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Material Changes in Estimates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was no material changes in estimates of amount reported in prior interim period or financial period that have a material effect in the current quarter and financial year-to-date.</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Debt and Equity Securities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issuances, repurchases, and repayments of long term debt and equity issued during the current quarter and financial year-to-date.</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Dividend Paid</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was no dividend paid in the current quarter and financial year-to-date.</w:t>
      </w: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Segmental Information</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Group is principally engaged in the manufacturing and marketing of all types of rice, sago sticks (vermicelli) and other related products. Business segmental information has therefore not been prepared as the Group’s revenue, operating profit, assets employed, liabilities, capital expenditure, depreciation and non-cash expenses are mainly confined to one business segment.</w:t>
      </w: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tbl>
      <w:tblPr>
        <w:tblW w:w="9353" w:type="dxa"/>
        <w:tblLook w:val="00A0"/>
      </w:tblPr>
      <w:tblGrid>
        <w:gridCol w:w="9353"/>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segmental information is therefore presented in respect of the Group’s geographical segments. The Group operates in two principal geographical areas namely Malaysia and Indonesia</w:t>
      </w:r>
      <w:r w:rsidR="003B6C2C" w:rsidRPr="00692A56">
        <w:rPr>
          <w:rFonts w:ascii="Times New Roman" w:hAnsi="Times New Roman"/>
          <w:sz w:val="24"/>
          <w:szCs w:val="24"/>
        </w:rPr>
        <w:t xml:space="preserve">. </w:t>
      </w:r>
      <w:r w:rsidRPr="00692A56">
        <w:rPr>
          <w:rFonts w:ascii="Times New Roman" w:eastAsia="SimSun" w:hAnsi="Times New Roman"/>
          <w:sz w:val="24"/>
          <w:szCs w:val="24"/>
        </w:rPr>
        <w:t>The segmental information</w:t>
      </w:r>
      <w:r w:rsidRPr="00692A56">
        <w:rPr>
          <w:rFonts w:ascii="Book Antiqua" w:hAnsi="Book Antiqua"/>
        </w:rPr>
        <w:t xml:space="preserve"> f</w:t>
      </w:r>
      <w:r w:rsidRPr="00692A56">
        <w:rPr>
          <w:rFonts w:ascii="Book Antiqua" w:eastAsia="SimSun" w:hAnsi="Book Antiqua"/>
        </w:rPr>
        <w:t>or the past six months ended 30 June 2010</w:t>
      </w:r>
      <w:r w:rsidRPr="00692A56">
        <w:rPr>
          <w:rFonts w:ascii="Book Antiqua" w:hAnsi="Book Antiqua"/>
        </w:rPr>
        <w:t xml:space="preserve"> were as follows:</w:t>
      </w:r>
    </w:p>
    <w:p w:rsidR="00E06E6E" w:rsidRPr="00692A56" w:rsidRDefault="00E06E6E" w:rsidP="004C0464">
      <w:pPr>
        <w:pStyle w:val="NoSpacing"/>
        <w:ind w:left="720"/>
        <w:jc w:val="both"/>
        <w:rPr>
          <w:rFonts w:ascii="Times New Roman" w:hAnsi="Times New Roman"/>
          <w:sz w:val="24"/>
          <w:szCs w:val="24"/>
        </w:rPr>
      </w:pPr>
    </w:p>
    <w:tbl>
      <w:tblPr>
        <w:tblW w:w="9353" w:type="dxa"/>
        <w:tblLook w:val="00A0"/>
      </w:tblPr>
      <w:tblGrid>
        <w:gridCol w:w="2123"/>
        <w:gridCol w:w="2114"/>
        <w:gridCol w:w="2108"/>
        <w:gridCol w:w="2900"/>
        <w:gridCol w:w="108"/>
      </w:tblGrid>
      <w:tr w:rsidR="00E06E6E" w:rsidRPr="00692A56" w:rsidTr="00C85C97">
        <w:trPr>
          <w:trHeight w:val="483"/>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Revenue</w:t>
            </w:r>
          </w:p>
        </w:tc>
        <w:tc>
          <w:tcPr>
            <w:tcW w:w="2108"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Assets</w:t>
            </w:r>
          </w:p>
        </w:tc>
        <w:tc>
          <w:tcPr>
            <w:tcW w:w="2180" w:type="dxa"/>
            <w:gridSpan w:val="2"/>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Capital Expenditure</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108"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180" w:type="dxa"/>
            <w:gridSpan w:val="2"/>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rPr>
          <w:trHeight w:val="248"/>
        </w:trPr>
        <w:tc>
          <w:tcPr>
            <w:tcW w:w="2123"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Malaysia</w:t>
            </w:r>
          </w:p>
        </w:tc>
        <w:tc>
          <w:tcPr>
            <w:tcW w:w="2114"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97,464</w:t>
            </w:r>
          </w:p>
        </w:tc>
        <w:tc>
          <w:tcPr>
            <w:tcW w:w="2108"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169,586</w:t>
            </w:r>
          </w:p>
        </w:tc>
        <w:tc>
          <w:tcPr>
            <w:tcW w:w="2180" w:type="dxa"/>
            <w:gridSpan w:val="2"/>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7,106</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Indonesia</w:t>
            </w:r>
          </w:p>
        </w:tc>
        <w:tc>
          <w:tcPr>
            <w:tcW w:w="2114"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3,047</w:t>
            </w:r>
          </w:p>
        </w:tc>
        <w:tc>
          <w:tcPr>
            <w:tcW w:w="2108"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29,755</w:t>
            </w:r>
          </w:p>
        </w:tc>
        <w:tc>
          <w:tcPr>
            <w:tcW w:w="2180" w:type="dxa"/>
            <w:gridSpan w:val="2"/>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100,511</w:t>
            </w:r>
          </w:p>
        </w:tc>
        <w:tc>
          <w:tcPr>
            <w:tcW w:w="2108"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199,341</w:t>
            </w:r>
          </w:p>
        </w:tc>
        <w:tc>
          <w:tcPr>
            <w:tcW w:w="2180" w:type="dxa"/>
            <w:gridSpan w:val="2"/>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7,106</w:t>
            </w:r>
          </w:p>
        </w:tc>
      </w:tr>
      <w:tr w:rsidR="00E06E6E" w:rsidRPr="00692A56" w:rsidTr="00C85C97">
        <w:trPr>
          <w:gridAfter w:val="1"/>
          <w:wAfter w:w="108" w:type="dxa"/>
          <w:trHeight w:val="222"/>
        </w:trPr>
        <w:tc>
          <w:tcPr>
            <w:tcW w:w="9245" w:type="dxa"/>
            <w:gridSpan w:val="4"/>
          </w:tcPr>
          <w:p w:rsidR="00E06E6E" w:rsidRPr="00692A56" w:rsidRDefault="00E06E6E" w:rsidP="00C85C97">
            <w:pPr>
              <w:pStyle w:val="NoSpacing"/>
              <w:jc w:val="both"/>
              <w:rPr>
                <w:rFonts w:ascii="Times New Roman" w:hAnsi="Times New Roman"/>
                <w:b/>
                <w:sz w:val="24"/>
                <w:szCs w:val="24"/>
              </w:rPr>
            </w:pPr>
          </w:p>
        </w:tc>
      </w:tr>
    </w:tbl>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Valuation of Property, Plant and Equipment</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Group did not carry out any valuation on its property, plant and equipment. The property, plant and equipment of the Group are stated at cost less accumulated depreciation and any accumulated impairment losses.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Events Subsequent to the Balance Sheet Date</w:t>
      </w:r>
    </w:p>
    <w:p w:rsidR="00E06E6E" w:rsidRPr="00692A56" w:rsidRDefault="00E06E6E" w:rsidP="004C0464">
      <w:pPr>
        <w:pStyle w:val="NoSpacing"/>
        <w:jc w:val="both"/>
        <w:rPr>
          <w:rFonts w:ascii="Times New Roman" w:hAnsi="Times New Roman"/>
          <w:b/>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materials events subsequent to the reporting period that have not been reflected in the interim financial statements as at the date of this report.</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the Composition of the Group</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were no changes in the composition of the Group during the current quarter and financial year-to-date.</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Contingent Liabilities or Contingent Assets</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were no material contingent liabilities or contingent assets to be disclosed as at the date of the interim financial statements.</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Capital Commitments</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was no capital commitment in the current quarter under review.</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E06E6E" w:rsidRPr="00692A56" w:rsidRDefault="00E06E6E" w:rsidP="009D6A61">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b/>
          <w:sz w:val="24"/>
          <w:szCs w:val="24"/>
        </w:rPr>
      </w:pPr>
      <w:r w:rsidRPr="00692A56">
        <w:rPr>
          <w:rFonts w:ascii="Times New Roman" w:hAnsi="Times New Roman"/>
          <w:b/>
          <w:sz w:val="24"/>
          <w:szCs w:val="24"/>
        </w:rPr>
        <w:t>B1)</w:t>
      </w:r>
      <w:r w:rsidRPr="00692A56">
        <w:rPr>
          <w:rFonts w:ascii="Times New Roman" w:hAnsi="Times New Roman"/>
          <w:b/>
          <w:sz w:val="24"/>
          <w:szCs w:val="24"/>
        </w:rPr>
        <w:tab/>
        <w:t>Review of Performance</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 Group recorded revenue of approximately RM46.56million and RM100.51million respectively in the current individual and cumulative quarter compared with the revenue of approximately RM54.55million and RM98.71million respectively in the corresponding individual and cumulative quarter of the preceding period. The revenue of the Group for the current year to date has improved slightly by 1.8% as compared with the preceding year corresponding period.</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DC0FC4">
      <w:pPr>
        <w:pStyle w:val="NoSpacing"/>
        <w:ind w:left="720"/>
        <w:jc w:val="both"/>
        <w:rPr>
          <w:rFonts w:ascii="Times New Roman" w:hAnsi="Times New Roman"/>
          <w:sz w:val="24"/>
          <w:szCs w:val="24"/>
        </w:rPr>
      </w:pPr>
      <w:r w:rsidRPr="00692A56">
        <w:rPr>
          <w:rFonts w:ascii="Times New Roman" w:hAnsi="Times New Roman"/>
          <w:sz w:val="24"/>
          <w:szCs w:val="24"/>
        </w:rPr>
        <w:t>The Group recorded loss before tax of approximately RM29.59million and RM28.72million respectively in the current individual and cumulative quarter compared with the profit before tax of approximately RM1.53million and RM2.80million respectively in the corresponding individual and cumulative quarter of the preceding period. The losses of the Group for the current quarter was mainly due to the following provisions as a result of special internal audit carried out during the quarter which was instructed by Audit Committee after the last qualification audit report by external auditor for the year ended 31 December 2009 :-</w:t>
      </w:r>
    </w:p>
    <w:p w:rsidR="00E06E6E" w:rsidRPr="00692A56" w:rsidRDefault="00E06E6E" w:rsidP="00663742">
      <w:pPr>
        <w:pStyle w:val="NoSpacing"/>
        <w:numPr>
          <w:ilvl w:val="0"/>
          <w:numId w:val="8"/>
        </w:numPr>
        <w:jc w:val="both"/>
        <w:rPr>
          <w:rFonts w:ascii="Times New Roman" w:hAnsi="Times New Roman"/>
          <w:sz w:val="24"/>
          <w:szCs w:val="24"/>
        </w:rPr>
      </w:pPr>
      <w:r w:rsidRPr="00692A56">
        <w:rPr>
          <w:rFonts w:ascii="Times New Roman" w:hAnsi="Times New Roman"/>
          <w:sz w:val="24"/>
          <w:szCs w:val="24"/>
        </w:rPr>
        <w:t>Provision of obsolete stock amounting to RM20</w:t>
      </w:r>
      <w:r w:rsidR="00431D08" w:rsidRPr="00692A56">
        <w:rPr>
          <w:rFonts w:ascii="Times New Roman" w:hAnsi="Times New Roman"/>
          <w:sz w:val="24"/>
          <w:szCs w:val="24"/>
        </w:rPr>
        <w:t>.</w:t>
      </w:r>
      <w:r w:rsidRPr="00692A56">
        <w:rPr>
          <w:rFonts w:ascii="Times New Roman" w:hAnsi="Times New Roman"/>
          <w:sz w:val="24"/>
          <w:szCs w:val="24"/>
        </w:rPr>
        <w:t>007 million :-</w:t>
      </w:r>
    </w:p>
    <w:p w:rsidR="00E06E6E" w:rsidRPr="00692A56" w:rsidRDefault="00E06E6E" w:rsidP="00663742">
      <w:pPr>
        <w:pStyle w:val="NoSpacing"/>
        <w:numPr>
          <w:ilvl w:val="0"/>
          <w:numId w:val="6"/>
        </w:numPr>
        <w:jc w:val="both"/>
        <w:rPr>
          <w:rFonts w:ascii="Times New Roman" w:hAnsi="Times New Roman"/>
          <w:sz w:val="24"/>
          <w:szCs w:val="24"/>
        </w:rPr>
      </w:pPr>
      <w:r w:rsidRPr="00692A56">
        <w:rPr>
          <w:rFonts w:ascii="Times New Roman" w:hAnsi="Times New Roman"/>
          <w:sz w:val="24"/>
          <w:szCs w:val="24"/>
        </w:rPr>
        <w:t>Stock obsolescence which is more than twelve (12) months</w:t>
      </w:r>
    </w:p>
    <w:p w:rsidR="00E06E6E" w:rsidRPr="00692A56" w:rsidRDefault="00E06E6E" w:rsidP="00663742">
      <w:pPr>
        <w:pStyle w:val="NoSpacing"/>
        <w:numPr>
          <w:ilvl w:val="0"/>
          <w:numId w:val="6"/>
        </w:numPr>
        <w:jc w:val="both"/>
        <w:rPr>
          <w:rFonts w:ascii="Times New Roman" w:hAnsi="Times New Roman"/>
          <w:sz w:val="24"/>
          <w:szCs w:val="24"/>
        </w:rPr>
      </w:pPr>
      <w:r w:rsidRPr="00692A56">
        <w:rPr>
          <w:rFonts w:ascii="Times New Roman" w:hAnsi="Times New Roman"/>
          <w:sz w:val="24"/>
          <w:szCs w:val="24"/>
        </w:rPr>
        <w:t xml:space="preserve">Stock deterioration </w:t>
      </w:r>
    </w:p>
    <w:p w:rsidR="00E06E6E" w:rsidRPr="00692A56" w:rsidRDefault="00E06E6E" w:rsidP="00DC0FC4">
      <w:pPr>
        <w:pStyle w:val="NoSpacing"/>
        <w:numPr>
          <w:ilvl w:val="0"/>
          <w:numId w:val="6"/>
        </w:numPr>
        <w:jc w:val="both"/>
        <w:rPr>
          <w:rFonts w:ascii="Times New Roman" w:hAnsi="Times New Roman"/>
          <w:sz w:val="24"/>
          <w:szCs w:val="24"/>
        </w:rPr>
      </w:pPr>
      <w:r w:rsidRPr="00692A56">
        <w:rPr>
          <w:rFonts w:ascii="Times New Roman" w:hAnsi="Times New Roman"/>
          <w:sz w:val="24"/>
          <w:szCs w:val="24"/>
        </w:rPr>
        <w:t>Damage which the quality of vermicelli appear dark, yellowish, shattering and packing shape battering and,</w:t>
      </w:r>
    </w:p>
    <w:p w:rsidR="00E06E6E" w:rsidRPr="00692A56" w:rsidRDefault="00E06E6E" w:rsidP="00663742">
      <w:pPr>
        <w:pStyle w:val="NoSpacing"/>
        <w:numPr>
          <w:ilvl w:val="0"/>
          <w:numId w:val="8"/>
        </w:numPr>
        <w:jc w:val="both"/>
        <w:rPr>
          <w:rFonts w:ascii="Times New Roman" w:hAnsi="Times New Roman"/>
          <w:sz w:val="24"/>
          <w:szCs w:val="24"/>
        </w:rPr>
      </w:pPr>
      <w:r w:rsidRPr="00692A56">
        <w:rPr>
          <w:rFonts w:ascii="Times New Roman" w:hAnsi="Times New Roman"/>
          <w:sz w:val="24"/>
          <w:szCs w:val="24"/>
        </w:rPr>
        <w:t>Provision for impairment losses of plant and equipment in Indonesian subsidiary amounting to RM9</w:t>
      </w:r>
      <w:r w:rsidR="00431D08" w:rsidRPr="00692A56">
        <w:rPr>
          <w:rFonts w:ascii="Times New Roman" w:hAnsi="Times New Roman"/>
          <w:sz w:val="24"/>
          <w:szCs w:val="24"/>
        </w:rPr>
        <w:t>.</w:t>
      </w:r>
      <w:r w:rsidRPr="00692A56">
        <w:rPr>
          <w:rFonts w:ascii="Times New Roman" w:hAnsi="Times New Roman"/>
          <w:sz w:val="24"/>
          <w:szCs w:val="24"/>
        </w:rPr>
        <w:t xml:space="preserve">991 million representing 60% of the Net Book Value. </w:t>
      </w:r>
    </w:p>
    <w:p w:rsidR="00E06E6E" w:rsidRPr="00692A56" w:rsidRDefault="00E06E6E" w:rsidP="008D0B13">
      <w:pPr>
        <w:pStyle w:val="NoSpacing"/>
        <w:ind w:left="1800"/>
        <w:jc w:val="both"/>
        <w:rPr>
          <w:rFonts w:ascii="Times New Roman" w:hAnsi="Times New Roman"/>
          <w:sz w:val="24"/>
          <w:szCs w:val="24"/>
        </w:rPr>
      </w:pPr>
      <w:r w:rsidRPr="00692A56">
        <w:rPr>
          <w:rFonts w:ascii="Times New Roman" w:hAnsi="Times New Roman"/>
          <w:sz w:val="24"/>
          <w:szCs w:val="24"/>
        </w:rPr>
        <w:t xml:space="preserve"> </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ind w:left="720" w:hanging="720"/>
        <w:jc w:val="both"/>
        <w:rPr>
          <w:rFonts w:ascii="Times New Roman" w:hAnsi="Times New Roman"/>
          <w:b/>
          <w:sz w:val="24"/>
          <w:szCs w:val="24"/>
        </w:rPr>
      </w:pPr>
      <w:r w:rsidRPr="00692A56">
        <w:rPr>
          <w:rFonts w:ascii="Times New Roman" w:hAnsi="Times New Roman"/>
          <w:b/>
          <w:sz w:val="24"/>
          <w:szCs w:val="24"/>
        </w:rPr>
        <w:t>B2)</w:t>
      </w:r>
      <w:r w:rsidRPr="00692A56">
        <w:rPr>
          <w:rFonts w:ascii="Times New Roman" w:hAnsi="Times New Roman"/>
          <w:b/>
          <w:sz w:val="24"/>
          <w:szCs w:val="24"/>
        </w:rPr>
        <w:tab/>
        <w:t>Material Change in the Profit before Taxation of Current Quarter Compared with the Immediate Preceding Quarter</w:t>
      </w:r>
    </w:p>
    <w:p w:rsidR="00E06E6E" w:rsidRPr="00692A56" w:rsidRDefault="00E06E6E" w:rsidP="009D6A61">
      <w:pPr>
        <w:pStyle w:val="NoSpacing"/>
        <w:ind w:left="720" w:hanging="720"/>
        <w:jc w:val="both"/>
        <w:rPr>
          <w:rFonts w:ascii="Times New Roman" w:hAnsi="Times New Roman"/>
          <w:sz w:val="24"/>
          <w:szCs w:val="24"/>
        </w:rPr>
      </w:pPr>
    </w:p>
    <w:p w:rsidR="00E06E6E" w:rsidRPr="00692A56" w:rsidRDefault="00E06E6E" w:rsidP="009D6A61">
      <w:pPr>
        <w:pStyle w:val="NoSpacing"/>
        <w:ind w:left="720" w:hanging="720"/>
        <w:jc w:val="both"/>
        <w:rPr>
          <w:rFonts w:ascii="Times New Roman" w:hAnsi="Times New Roman"/>
          <w:sz w:val="24"/>
          <w:szCs w:val="24"/>
        </w:rPr>
      </w:pPr>
      <w:r w:rsidRPr="00692A56">
        <w:rPr>
          <w:rFonts w:ascii="Times New Roman" w:hAnsi="Times New Roman"/>
          <w:sz w:val="24"/>
          <w:szCs w:val="24"/>
        </w:rPr>
        <w:tab/>
      </w:r>
    </w:p>
    <w:tbl>
      <w:tblPr>
        <w:tblW w:w="0" w:type="auto"/>
        <w:tblInd w:w="828" w:type="dxa"/>
        <w:tblLook w:val="0020"/>
      </w:tblPr>
      <w:tblGrid>
        <w:gridCol w:w="3078"/>
        <w:gridCol w:w="1800"/>
        <w:gridCol w:w="1800"/>
        <w:gridCol w:w="1115"/>
      </w:tblGrid>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Immediate Preceding Quarter</w:t>
            </w:r>
          </w:p>
        </w:tc>
        <w:tc>
          <w:tcPr>
            <w:tcW w:w="1115"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31.03.10</w:t>
            </w:r>
          </w:p>
        </w:tc>
        <w:tc>
          <w:tcPr>
            <w:tcW w:w="1115"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 / -</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115"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Revenue</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46,555</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53,956</w:t>
            </w:r>
          </w:p>
        </w:tc>
        <w:tc>
          <w:tcPr>
            <w:tcW w:w="1115"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(13.7)</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(Loss)/Profit Before Taxation</w:t>
            </w:r>
          </w:p>
        </w:tc>
        <w:tc>
          <w:tcPr>
            <w:tcW w:w="1800"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(29,590)</w:t>
            </w:r>
          </w:p>
        </w:tc>
        <w:tc>
          <w:tcPr>
            <w:tcW w:w="1800"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871</w:t>
            </w:r>
          </w:p>
        </w:tc>
        <w:tc>
          <w:tcPr>
            <w:tcW w:w="1115"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(3,497.2)</w:t>
            </w:r>
          </w:p>
        </w:tc>
      </w:tr>
    </w:tbl>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hanging="720"/>
        <w:jc w:val="both"/>
        <w:rPr>
          <w:rFonts w:ascii="Times New Roman" w:hAnsi="Times New Roman"/>
          <w:sz w:val="24"/>
          <w:szCs w:val="24"/>
        </w:rPr>
      </w:pPr>
      <w:r w:rsidRPr="00692A56">
        <w:rPr>
          <w:rFonts w:ascii="Times New Roman" w:hAnsi="Times New Roman"/>
          <w:sz w:val="24"/>
          <w:szCs w:val="24"/>
        </w:rPr>
        <w:tab/>
        <w:t>The Group recorded lower revenue of approximately RM46.56million or 13.7% in the current quarter compared with the revenue of approximately RM53.96million in the preceding quarter. The decrease in revenue for the current quarter was due to lower sales demand for the current quarter as customers have built up their inventory in the first quarter in anticipation to the increase in price of their products.</w:t>
      </w:r>
    </w:p>
    <w:p w:rsidR="00E06E6E" w:rsidRPr="00692A56" w:rsidRDefault="00E06E6E" w:rsidP="009753E8">
      <w:pPr>
        <w:pStyle w:val="NoSpacing"/>
        <w:ind w:left="720" w:hanging="720"/>
        <w:jc w:val="both"/>
        <w:rPr>
          <w:rFonts w:ascii="Times New Roman" w:hAnsi="Times New Roman"/>
          <w:sz w:val="24"/>
          <w:szCs w:val="24"/>
        </w:rPr>
      </w:pPr>
    </w:p>
    <w:p w:rsidR="00011AEB" w:rsidRPr="00692A56" w:rsidRDefault="00011AEB" w:rsidP="009753E8">
      <w:pPr>
        <w:pStyle w:val="NoSpacing"/>
        <w:ind w:left="720" w:hanging="720"/>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9753E8">
      <w:pPr>
        <w:pStyle w:val="NoSpacing"/>
        <w:ind w:left="720" w:hanging="720"/>
        <w:jc w:val="both"/>
        <w:rPr>
          <w:rFonts w:ascii="Times New Roman" w:hAnsi="Times New Roman"/>
          <w:sz w:val="24"/>
          <w:szCs w:val="24"/>
        </w:rPr>
      </w:pPr>
    </w:p>
    <w:p w:rsidR="00E06E6E" w:rsidRPr="00692A56" w:rsidRDefault="00E06E6E" w:rsidP="000D6E4E">
      <w:pPr>
        <w:pStyle w:val="NoSpacing"/>
        <w:ind w:left="720"/>
        <w:jc w:val="both"/>
        <w:rPr>
          <w:rFonts w:ascii="Times New Roman" w:hAnsi="Times New Roman"/>
          <w:sz w:val="24"/>
          <w:szCs w:val="24"/>
        </w:rPr>
      </w:pPr>
      <w:r w:rsidRPr="00692A56">
        <w:rPr>
          <w:rFonts w:ascii="Times New Roman" w:hAnsi="Times New Roman"/>
          <w:sz w:val="24"/>
          <w:szCs w:val="24"/>
        </w:rPr>
        <w:t>The Group recorded loss before tax of approximately RM29.59million in the current quarter compared with profit before tax of approximately RM0.87million in the immediate preceding quarter. The reasons for the losses were mainly due to the reason elaborated in Note B1 above.</w:t>
      </w:r>
    </w:p>
    <w:p w:rsidR="00E06E6E" w:rsidRPr="00692A56" w:rsidRDefault="00E06E6E" w:rsidP="009753E8">
      <w:pPr>
        <w:pStyle w:val="NoSpacing"/>
        <w:ind w:left="720" w:hanging="720"/>
        <w:jc w:val="both"/>
        <w:rPr>
          <w:rFonts w:ascii="Times New Roman" w:hAnsi="Times New Roman"/>
          <w:sz w:val="24"/>
          <w:szCs w:val="24"/>
        </w:rPr>
      </w:pPr>
    </w:p>
    <w:p w:rsidR="00E06E6E" w:rsidRPr="00692A56" w:rsidRDefault="00E06E6E" w:rsidP="00A4344A">
      <w:pPr>
        <w:pStyle w:val="NoSpacing"/>
        <w:jc w:val="both"/>
        <w:rPr>
          <w:rFonts w:ascii="Times New Roman" w:hAnsi="Times New Roman"/>
          <w:b/>
          <w:sz w:val="24"/>
          <w:szCs w:val="24"/>
        </w:rPr>
      </w:pPr>
      <w:r w:rsidRPr="00692A56">
        <w:rPr>
          <w:rFonts w:ascii="Times New Roman" w:hAnsi="Times New Roman"/>
          <w:b/>
          <w:sz w:val="24"/>
          <w:szCs w:val="24"/>
        </w:rPr>
        <w:t>B3)</w:t>
      </w:r>
      <w:r w:rsidRPr="00692A56">
        <w:rPr>
          <w:rFonts w:ascii="Times New Roman" w:hAnsi="Times New Roman"/>
          <w:b/>
          <w:sz w:val="24"/>
          <w:szCs w:val="24"/>
        </w:rPr>
        <w:tab/>
        <w:t>Current Year Prospects</w:t>
      </w:r>
    </w:p>
    <w:p w:rsidR="00E06E6E" w:rsidRPr="00692A56" w:rsidRDefault="00E06E6E" w:rsidP="00A4344A">
      <w:pPr>
        <w:pStyle w:val="NoSpacing"/>
        <w:jc w:val="both"/>
        <w:rPr>
          <w:rFonts w:ascii="Times New Roman" w:hAnsi="Times New Roman"/>
          <w:sz w:val="24"/>
          <w:szCs w:val="24"/>
        </w:rPr>
      </w:pPr>
    </w:p>
    <w:p w:rsidR="00E06E6E" w:rsidRPr="00692A56" w:rsidRDefault="00E06E6E" w:rsidP="00A00EED">
      <w:pPr>
        <w:pStyle w:val="NoSpacing"/>
        <w:ind w:left="720" w:hanging="720"/>
        <w:jc w:val="both"/>
        <w:rPr>
          <w:rFonts w:ascii="Times New Roman" w:hAnsi="Times New Roman"/>
          <w:sz w:val="24"/>
          <w:szCs w:val="24"/>
        </w:rPr>
      </w:pPr>
      <w:r w:rsidRPr="00692A56">
        <w:rPr>
          <w:rFonts w:ascii="Times New Roman" w:hAnsi="Times New Roman"/>
          <w:sz w:val="24"/>
          <w:szCs w:val="24"/>
        </w:rPr>
        <w:tab/>
        <w:t>The Group will continue to rationalize and consolidate its business operation. As the Group has been given six (6) months to complete the proposed debts restructuring scheme by Corporate Debts Restructuring Committee (“CDRC”) effective from 11 August 2010 going forward, the Group is reorganizing its business to strengthen focus on its core business, integrated vermicelli manufacturing and sago product manufacturing within domestic market. The Group will continue its effort at cost cutting measures, consolidation of loss making operations, improving in operation efficiency and productivity, improving in inventory control and credit control as well as focus on product development and quality improvement in the rice and sago sticks (vermicelli) operation in order to remain competitive in the market.</w:t>
      </w:r>
    </w:p>
    <w:p w:rsidR="00E06E6E" w:rsidRPr="00692A56" w:rsidRDefault="00E06E6E" w:rsidP="009753E8">
      <w:pPr>
        <w:pStyle w:val="NoSpacing"/>
        <w:jc w:val="both"/>
        <w:rPr>
          <w:rFonts w:ascii="Times New Roman" w:hAnsi="Times New Roman"/>
          <w:b/>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B4)</w:t>
      </w:r>
      <w:r w:rsidRPr="00692A56">
        <w:rPr>
          <w:rFonts w:ascii="Times New Roman" w:hAnsi="Times New Roman"/>
          <w:b/>
          <w:sz w:val="24"/>
          <w:szCs w:val="24"/>
        </w:rPr>
        <w:tab/>
        <w:t>Variance between Actual Profit and Forecast Profit</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jc w:val="both"/>
        <w:rPr>
          <w:rFonts w:ascii="Times New Roman" w:hAnsi="Times New Roman"/>
          <w:sz w:val="24"/>
          <w:szCs w:val="24"/>
        </w:rPr>
      </w:pPr>
      <w:r w:rsidRPr="00692A56">
        <w:rPr>
          <w:rFonts w:ascii="Times New Roman" w:hAnsi="Times New Roman"/>
          <w:sz w:val="24"/>
          <w:szCs w:val="24"/>
        </w:rPr>
        <w:t>The Group did not issue any profit forecast or profit guarantee during the current quarter under review.</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B5)</w:t>
      </w:r>
      <w:r w:rsidRPr="00692A56">
        <w:rPr>
          <w:rFonts w:ascii="Times New Roman" w:hAnsi="Times New Roman"/>
          <w:b/>
          <w:sz w:val="24"/>
          <w:szCs w:val="24"/>
        </w:rPr>
        <w:tab/>
        <w:t>Taxation</w:t>
      </w:r>
    </w:p>
    <w:p w:rsidR="00E06E6E" w:rsidRPr="00692A56" w:rsidRDefault="00E06E6E" w:rsidP="009753E8">
      <w:pPr>
        <w:pStyle w:val="NoSpacing"/>
        <w:jc w:val="both"/>
        <w:rPr>
          <w:rFonts w:ascii="Times New Roman" w:hAnsi="Times New Roman"/>
          <w:sz w:val="24"/>
          <w:szCs w:val="24"/>
        </w:rPr>
      </w:pPr>
    </w:p>
    <w:tbl>
      <w:tblPr>
        <w:tblW w:w="0" w:type="auto"/>
        <w:tblInd w:w="828" w:type="dxa"/>
        <w:tblLook w:val="00A0"/>
      </w:tblPr>
      <w:tblGrid>
        <w:gridCol w:w="3081"/>
        <w:gridCol w:w="2427"/>
        <w:gridCol w:w="2340"/>
      </w:tblGrid>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Year-to-Date</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Income Tax</w:t>
            </w:r>
          </w:p>
        </w:tc>
        <w:tc>
          <w:tcPr>
            <w:tcW w:w="242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249</w:t>
            </w:r>
          </w:p>
        </w:tc>
        <w:tc>
          <w:tcPr>
            <w:tcW w:w="234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442</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Deferred Tax</w:t>
            </w:r>
          </w:p>
        </w:tc>
        <w:tc>
          <w:tcPr>
            <w:tcW w:w="2427"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234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2,960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249</w:t>
            </w:r>
          </w:p>
        </w:tc>
        <w:tc>
          <w:tcPr>
            <w:tcW w:w="234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3,402</w:t>
            </w:r>
          </w:p>
        </w:tc>
      </w:tr>
    </w:tbl>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B6)</w:t>
      </w:r>
      <w:r w:rsidRPr="00692A56">
        <w:rPr>
          <w:rFonts w:ascii="Times New Roman" w:hAnsi="Times New Roman"/>
          <w:b/>
          <w:sz w:val="24"/>
          <w:szCs w:val="24"/>
        </w:rPr>
        <w:tab/>
        <w:t>Unquoted Investments and Properties</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jc w:val="both"/>
        <w:rPr>
          <w:rFonts w:ascii="Times New Roman" w:hAnsi="Times New Roman"/>
          <w:sz w:val="24"/>
          <w:szCs w:val="24"/>
        </w:rPr>
      </w:pPr>
      <w:r w:rsidRPr="00692A56">
        <w:rPr>
          <w:rFonts w:ascii="Times New Roman" w:hAnsi="Times New Roman"/>
          <w:sz w:val="24"/>
          <w:szCs w:val="24"/>
        </w:rPr>
        <w:t>There were no sales and purchases of unquoted investments and properties for the current quarter.</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B7)</w:t>
      </w:r>
      <w:r w:rsidRPr="00692A56">
        <w:rPr>
          <w:rFonts w:ascii="Times New Roman" w:hAnsi="Times New Roman"/>
          <w:b/>
          <w:sz w:val="24"/>
          <w:szCs w:val="24"/>
        </w:rPr>
        <w:tab/>
        <w:t>Quoted Securities</w:t>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t>There were no purchases or disposals of quoted securities for the current quarter.</w:t>
      </w:r>
    </w:p>
    <w:p w:rsidR="00E06E6E" w:rsidRPr="00692A56" w:rsidRDefault="00E06E6E" w:rsidP="009753E8">
      <w:pPr>
        <w:pStyle w:val="NoSpacing"/>
        <w:jc w:val="both"/>
        <w:rPr>
          <w:rFonts w:ascii="Times New Roman" w:hAnsi="Times New Roman"/>
          <w:sz w:val="24"/>
          <w:szCs w:val="24"/>
        </w:rPr>
      </w:pPr>
    </w:p>
    <w:p w:rsidR="00011AEB" w:rsidRPr="00692A56" w:rsidRDefault="00011AEB" w:rsidP="009753E8">
      <w:pPr>
        <w:pStyle w:val="NoSpacing"/>
        <w:jc w:val="both"/>
        <w:rPr>
          <w:rFonts w:ascii="Times New Roman" w:hAnsi="Times New Roman"/>
          <w:sz w:val="24"/>
          <w:szCs w:val="24"/>
        </w:rPr>
      </w:pPr>
    </w:p>
    <w:p w:rsidR="00011AEB" w:rsidRPr="00692A56" w:rsidRDefault="00011AEB" w:rsidP="009753E8">
      <w:pPr>
        <w:pStyle w:val="NoSpacing"/>
        <w:jc w:val="both"/>
        <w:rPr>
          <w:rFonts w:ascii="Times New Roman" w:hAnsi="Times New Roman"/>
          <w:sz w:val="24"/>
          <w:szCs w:val="24"/>
        </w:rPr>
      </w:pPr>
    </w:p>
    <w:p w:rsidR="00011AEB" w:rsidRPr="00692A56" w:rsidRDefault="00011AEB" w:rsidP="009753E8">
      <w:pPr>
        <w:pStyle w:val="NoSpacing"/>
        <w:jc w:val="both"/>
        <w:rPr>
          <w:rFonts w:ascii="Times New Roman" w:hAnsi="Times New Roman"/>
          <w:sz w:val="24"/>
          <w:szCs w:val="24"/>
        </w:rPr>
      </w:pPr>
    </w:p>
    <w:p w:rsidR="00011AEB" w:rsidRPr="00692A56" w:rsidRDefault="00011AEB" w:rsidP="009753E8">
      <w:pPr>
        <w:pStyle w:val="NoSpacing"/>
        <w:jc w:val="both"/>
        <w:rPr>
          <w:rFonts w:ascii="Times New Roman" w:hAnsi="Times New Roman"/>
          <w:sz w:val="24"/>
          <w:szCs w:val="24"/>
        </w:rPr>
      </w:pPr>
    </w:p>
    <w:p w:rsidR="00011AEB" w:rsidRPr="00692A56" w:rsidRDefault="00011AEB" w:rsidP="009753E8">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B8)</w:t>
      </w:r>
      <w:r w:rsidRPr="00692A56">
        <w:rPr>
          <w:rFonts w:ascii="Times New Roman" w:hAnsi="Times New Roman"/>
          <w:b/>
          <w:sz w:val="24"/>
          <w:szCs w:val="24"/>
        </w:rPr>
        <w:tab/>
        <w:t>Corporate Proposals</w:t>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A00EED">
      <w:pPr>
        <w:pStyle w:val="NoSpacing"/>
        <w:ind w:left="720"/>
        <w:jc w:val="both"/>
        <w:rPr>
          <w:rFonts w:ascii="Times New Roman" w:hAnsi="Times New Roman"/>
          <w:sz w:val="24"/>
          <w:szCs w:val="24"/>
        </w:rPr>
      </w:pPr>
      <w:r w:rsidRPr="00692A56">
        <w:rPr>
          <w:rFonts w:ascii="Times New Roman" w:hAnsi="Times New Roman"/>
          <w:sz w:val="24"/>
          <w:szCs w:val="24"/>
        </w:rPr>
        <w:t>The Group had submitted an application to the Corporate Debts Restructuring Committee (“CDRC”) in respect of the Corporate Debts Restructuring Scheme (“CDRS”) on 21 July 2010. CDRC had via its letter dated 11 August 2010 accepted the Group’s application for admission for assistance to mediate between KBB Resource Berhad (“KBB”) and its Financial Creditors for debts amounting to RM120.73 million. CDRC has give KBB six (6) months to complete the proposed debts restructuring scheme effective from 11 August 2010.</w:t>
      </w:r>
    </w:p>
    <w:p w:rsidR="00E06E6E" w:rsidRPr="00692A56" w:rsidRDefault="00E06E6E" w:rsidP="004C0464">
      <w:pPr>
        <w:pStyle w:val="NoSpacing"/>
        <w:jc w:val="both"/>
        <w:rPr>
          <w:rFonts w:ascii="Times New Roman" w:hAnsi="Times New Roman"/>
          <w:b/>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B9)</w:t>
      </w:r>
      <w:r w:rsidRPr="00692A56">
        <w:rPr>
          <w:rFonts w:ascii="Times New Roman" w:hAnsi="Times New Roman"/>
          <w:b/>
          <w:sz w:val="24"/>
          <w:szCs w:val="24"/>
        </w:rPr>
        <w:tab/>
        <w:t>Borrowings and Debts Securities</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r w:rsidRPr="00692A56">
        <w:rPr>
          <w:rFonts w:ascii="Times New Roman" w:hAnsi="Times New Roman"/>
          <w:sz w:val="24"/>
          <w:szCs w:val="24"/>
        </w:rPr>
        <w:tab/>
        <w:t>The Groups’ borrowings as at 30</w:t>
      </w:r>
      <w:r w:rsidRPr="00692A56">
        <w:rPr>
          <w:rFonts w:ascii="Times New Roman" w:hAnsi="Times New Roman"/>
          <w:sz w:val="24"/>
          <w:szCs w:val="24"/>
          <w:vertAlign w:val="superscript"/>
        </w:rPr>
        <w:t>th</w:t>
      </w:r>
      <w:r w:rsidRPr="00692A56">
        <w:rPr>
          <w:rFonts w:ascii="Times New Roman" w:hAnsi="Times New Roman"/>
          <w:sz w:val="24"/>
          <w:szCs w:val="24"/>
        </w:rPr>
        <w:t xml:space="preserve"> June 2010 are as follows:-</w:t>
      </w:r>
    </w:p>
    <w:p w:rsidR="00E06E6E" w:rsidRPr="00692A56" w:rsidRDefault="00E06E6E" w:rsidP="002B2AAE">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2B2AAE">
      <w:pPr>
        <w:pStyle w:val="NoSpacing"/>
        <w:jc w:val="both"/>
        <w:rPr>
          <w:rFonts w:ascii="Times New Roman" w:hAnsi="Times New Roman"/>
          <w:sz w:val="24"/>
          <w:szCs w:val="24"/>
        </w:rPr>
      </w:pPr>
      <w:r w:rsidRPr="00692A56">
        <w:rPr>
          <w:rFonts w:ascii="Times New Roman" w:hAnsi="Times New Roman"/>
          <w:sz w:val="24"/>
          <w:szCs w:val="24"/>
        </w:rPr>
        <w:tab/>
      </w:r>
    </w:p>
    <w:tbl>
      <w:tblPr>
        <w:tblW w:w="7859" w:type="dxa"/>
        <w:tblInd w:w="828" w:type="dxa"/>
        <w:tblLook w:val="00A0"/>
      </w:tblPr>
      <w:tblGrid>
        <w:gridCol w:w="2970"/>
        <w:gridCol w:w="1649"/>
        <w:gridCol w:w="1710"/>
        <w:gridCol w:w="1530"/>
      </w:tblGrid>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Secured</w:t>
            </w: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Unsecured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2970"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Short Term Borrowings:-</w:t>
            </w:r>
          </w:p>
        </w:tc>
        <w:tc>
          <w:tcPr>
            <w:tcW w:w="1649" w:type="dxa"/>
          </w:tcPr>
          <w:p w:rsidR="00E06E6E" w:rsidRPr="00692A56" w:rsidRDefault="00E06E6E" w:rsidP="00C85C97">
            <w:pPr>
              <w:pStyle w:val="NoSpacing"/>
              <w:jc w:val="right"/>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Bank Overdrafts</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3,584</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3,584</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Bankers Acceptance</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68,473</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68,473</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Islamic Acceptance Bills</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16,877</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16,877</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Hire Purchase Payables</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388</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388</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Revolving Credit</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2,400</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2,400</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Short Term Loan</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6,015</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6,015</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Term Loans</w:t>
            </w:r>
          </w:p>
        </w:tc>
        <w:tc>
          <w:tcPr>
            <w:tcW w:w="1649"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1,562</w:t>
            </w: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1,562</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99,299</w:t>
            </w:r>
          </w:p>
        </w:tc>
        <w:tc>
          <w:tcPr>
            <w:tcW w:w="171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99,299</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71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Long Term Borrowings:-</w:t>
            </w:r>
          </w:p>
        </w:tc>
        <w:tc>
          <w:tcPr>
            <w:tcW w:w="1649" w:type="dxa"/>
          </w:tcPr>
          <w:p w:rsidR="00E06E6E" w:rsidRPr="00692A56" w:rsidRDefault="00E06E6E" w:rsidP="00C85C97">
            <w:pPr>
              <w:pStyle w:val="NoSpacing"/>
              <w:jc w:val="right"/>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Hire Purchase Payables</w:t>
            </w:r>
          </w:p>
        </w:tc>
        <w:tc>
          <w:tcPr>
            <w:tcW w:w="1649"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557</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557</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Term Loans</w:t>
            </w:r>
          </w:p>
        </w:tc>
        <w:tc>
          <w:tcPr>
            <w:tcW w:w="1649"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21,854</w:t>
            </w: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21,854</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22,411</w:t>
            </w:r>
          </w:p>
        </w:tc>
        <w:tc>
          <w:tcPr>
            <w:tcW w:w="171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22,411</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71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b/>
                <w:sz w:val="24"/>
                <w:szCs w:val="24"/>
              </w:rPr>
              <w:t>Total</w:t>
            </w:r>
          </w:p>
        </w:tc>
        <w:tc>
          <w:tcPr>
            <w:tcW w:w="1649"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121,710</w:t>
            </w:r>
          </w:p>
        </w:tc>
        <w:tc>
          <w:tcPr>
            <w:tcW w:w="171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121,710</w:t>
            </w:r>
          </w:p>
        </w:tc>
      </w:tr>
    </w:tbl>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A00EED">
      <w:pPr>
        <w:pStyle w:val="NoSpacing"/>
        <w:ind w:left="720"/>
        <w:jc w:val="both"/>
        <w:rPr>
          <w:rFonts w:ascii="Times New Roman" w:hAnsi="Times New Roman"/>
          <w:sz w:val="24"/>
          <w:szCs w:val="24"/>
        </w:rPr>
      </w:pPr>
      <w:r w:rsidRPr="00692A56">
        <w:rPr>
          <w:rFonts w:ascii="Times New Roman" w:hAnsi="Times New Roman"/>
          <w:sz w:val="24"/>
          <w:szCs w:val="24"/>
        </w:rPr>
        <w:t>Included in the Group’s borrowings are foreign currency borrowins denominated in Indonesian Rupiah amounting to IDR16.877 billion equivalent to approximately RM6.0 million. Details of the borrowings have been provided to Corporate Debts Restructuring Committee (“CDRC”).</w:t>
      </w:r>
    </w:p>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B10)</w:t>
      </w:r>
      <w:r w:rsidRPr="00692A56">
        <w:rPr>
          <w:rFonts w:ascii="Times New Roman" w:hAnsi="Times New Roman"/>
          <w:b/>
          <w:sz w:val="24"/>
          <w:szCs w:val="24"/>
        </w:rPr>
        <w:tab/>
        <w:t>Off Balance Sheet Financial Instruments</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There were no financial instruments with off balance sheet risk as at the date of the interim financial statements.</w:t>
      </w:r>
    </w:p>
    <w:p w:rsidR="00E06E6E" w:rsidRPr="00692A56" w:rsidRDefault="00E06E6E" w:rsidP="002B2AAE">
      <w:pPr>
        <w:pStyle w:val="NoSpacing"/>
        <w:jc w:val="both"/>
        <w:rPr>
          <w:rFonts w:ascii="Times New Roman" w:hAnsi="Times New Roman"/>
          <w:sz w:val="24"/>
          <w:szCs w:val="24"/>
        </w:rPr>
      </w:pPr>
    </w:p>
    <w:p w:rsidR="00011AEB" w:rsidRPr="00692A56" w:rsidRDefault="00011AEB" w:rsidP="002B2AAE">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- 2</w:t>
            </w:r>
            <w:r w:rsidRPr="00692A56">
              <w:rPr>
                <w:rFonts w:ascii="Times New Roman" w:hAnsi="Times New Roman"/>
                <w:b/>
                <w:sz w:val="24"/>
                <w:szCs w:val="24"/>
                <w:vertAlign w:val="superscript"/>
              </w:rPr>
              <w:t>ND</w:t>
            </w:r>
            <w:r w:rsidRPr="00692A56">
              <w:rPr>
                <w:rFonts w:ascii="Times New Roman" w:hAnsi="Times New Roman"/>
                <w:b/>
                <w:sz w:val="24"/>
                <w:szCs w:val="24"/>
              </w:rPr>
              <w:t xml:space="preserve"> QUARTER ENDED 30 JUNE 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B11)</w:t>
      </w:r>
      <w:r w:rsidRPr="00692A56">
        <w:rPr>
          <w:rFonts w:ascii="Times New Roman" w:hAnsi="Times New Roman"/>
          <w:b/>
          <w:sz w:val="24"/>
          <w:szCs w:val="24"/>
        </w:rPr>
        <w:tab/>
        <w:t>Material Litigation</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There were no material litigations against the Group or taken by the Group as at the date of the interim financial statements.</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B12)</w:t>
      </w:r>
      <w:r w:rsidRPr="00692A56">
        <w:rPr>
          <w:rFonts w:ascii="Times New Roman" w:hAnsi="Times New Roman"/>
          <w:b/>
          <w:sz w:val="24"/>
          <w:szCs w:val="24"/>
        </w:rPr>
        <w:tab/>
        <w:t>Earnings per Share</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 basic earnings per share of the Group are calculated by dividing the profit attributable to shareholders by the weighted average number of ordinary shares in issue during the financial period calculated as follows:-</w:t>
      </w:r>
    </w:p>
    <w:p w:rsidR="00E06E6E" w:rsidRPr="00692A56" w:rsidRDefault="00E06E6E" w:rsidP="002B2AAE">
      <w:pPr>
        <w:pStyle w:val="NoSpacing"/>
        <w:ind w:left="720"/>
        <w:jc w:val="both"/>
        <w:rPr>
          <w:rFonts w:ascii="Times New Roman" w:hAnsi="Times New Roman"/>
          <w:sz w:val="24"/>
          <w:szCs w:val="24"/>
        </w:rPr>
      </w:pPr>
    </w:p>
    <w:tbl>
      <w:tblPr>
        <w:tblW w:w="8671" w:type="dxa"/>
        <w:tblInd w:w="828" w:type="dxa"/>
        <w:tblLook w:val="00A0"/>
      </w:tblPr>
      <w:tblGrid>
        <w:gridCol w:w="2520"/>
        <w:gridCol w:w="1260"/>
        <w:gridCol w:w="1831"/>
        <w:gridCol w:w="1229"/>
        <w:gridCol w:w="1831"/>
      </w:tblGrid>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Individual Quarter</w:t>
            </w:r>
          </w:p>
        </w:tc>
        <w:tc>
          <w:tcPr>
            <w:tcW w:w="1229" w:type="dxa"/>
          </w:tcPr>
          <w:p w:rsidR="00E06E6E" w:rsidRPr="00692A56" w:rsidRDefault="00E06E6E" w:rsidP="00C85C97">
            <w:pPr>
              <w:pStyle w:val="NoSpacing"/>
              <w:jc w:val="right"/>
              <w:rPr>
                <w:rFonts w:ascii="Times New Roman" w:hAnsi="Times New Roman"/>
                <w:b/>
                <w:sz w:val="24"/>
                <w:szCs w:val="24"/>
              </w:rPr>
            </w:pP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Cumulative Period</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Quarter</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30.06.09</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30.06.10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30.06.09</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(Loss)/Profit for the Period (RM’000)</w:t>
            </w:r>
          </w:p>
        </w:tc>
        <w:tc>
          <w:tcPr>
            <w:tcW w:w="1260"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(29,839)</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1,049</w:t>
            </w:r>
          </w:p>
        </w:tc>
        <w:tc>
          <w:tcPr>
            <w:tcW w:w="1229"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(29,161)</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2,212</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229"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Weighted Average Number of Ordinary Shares of RM0.50 each (’000)</w:t>
            </w:r>
          </w:p>
        </w:tc>
        <w:tc>
          <w:tcPr>
            <w:tcW w:w="1260"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229"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229"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Earnings Per Share</w:t>
            </w:r>
          </w:p>
        </w:tc>
        <w:tc>
          <w:tcPr>
            <w:tcW w:w="1260" w:type="dxa"/>
          </w:tcPr>
          <w:p w:rsidR="00E06E6E" w:rsidRPr="00692A56" w:rsidRDefault="00E06E6E" w:rsidP="00C85C97">
            <w:pPr>
              <w:pStyle w:val="NoSpacing"/>
              <w:jc w:val="right"/>
              <w:rPr>
                <w:rFonts w:ascii="Times New Roman" w:hAnsi="Times New Roman"/>
                <w:sz w:val="24"/>
                <w:szCs w:val="24"/>
              </w:rPr>
            </w:pPr>
          </w:p>
        </w:tc>
        <w:tc>
          <w:tcPr>
            <w:tcW w:w="1831" w:type="dxa"/>
          </w:tcPr>
          <w:p w:rsidR="00E06E6E" w:rsidRPr="00692A56" w:rsidRDefault="00E06E6E" w:rsidP="00C85C97">
            <w:pPr>
              <w:pStyle w:val="NoSpacing"/>
              <w:jc w:val="right"/>
              <w:rPr>
                <w:rFonts w:ascii="Times New Roman" w:hAnsi="Times New Roman"/>
                <w:sz w:val="24"/>
                <w:szCs w:val="24"/>
              </w:rPr>
            </w:pPr>
          </w:p>
        </w:tc>
        <w:tc>
          <w:tcPr>
            <w:tcW w:w="1229" w:type="dxa"/>
          </w:tcPr>
          <w:p w:rsidR="00E06E6E" w:rsidRPr="00692A56" w:rsidRDefault="00E06E6E" w:rsidP="00C85C97">
            <w:pPr>
              <w:pStyle w:val="NoSpacing"/>
              <w:jc w:val="right"/>
              <w:rPr>
                <w:rFonts w:ascii="Times New Roman" w:hAnsi="Times New Roman"/>
                <w:sz w:val="24"/>
                <w:szCs w:val="24"/>
              </w:rPr>
            </w:pPr>
          </w:p>
        </w:tc>
        <w:tc>
          <w:tcPr>
            <w:tcW w:w="1831"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Basic (sen)</w:t>
            </w:r>
          </w:p>
        </w:tc>
        <w:tc>
          <w:tcPr>
            <w:tcW w:w="1260"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(24.87)</w:t>
            </w:r>
          </w:p>
        </w:tc>
        <w:tc>
          <w:tcPr>
            <w:tcW w:w="1831"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0.87</w:t>
            </w:r>
          </w:p>
        </w:tc>
        <w:tc>
          <w:tcPr>
            <w:tcW w:w="1229"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(24.30)</w:t>
            </w:r>
          </w:p>
        </w:tc>
        <w:tc>
          <w:tcPr>
            <w:tcW w:w="1831" w:type="dxa"/>
            <w:tcBorders>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1.84</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Diluted (sen)</w:t>
            </w:r>
          </w:p>
        </w:tc>
        <w:tc>
          <w:tcPr>
            <w:tcW w:w="1260"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31"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229"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31"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bl>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Diluted earnings per share have not been computed as the effect of the share options under ESOS is anti-dilutive in nature.</w:t>
      </w:r>
    </w:p>
    <w:p w:rsidR="00E06E6E" w:rsidRPr="00692A56" w:rsidRDefault="00E06E6E" w:rsidP="005F53F8">
      <w:pPr>
        <w:pStyle w:val="NoSpacing"/>
        <w:jc w:val="both"/>
        <w:rPr>
          <w:rFonts w:ascii="Times New Roman" w:hAnsi="Times New Roman"/>
          <w:sz w:val="24"/>
          <w:szCs w:val="24"/>
        </w:rPr>
      </w:pPr>
    </w:p>
    <w:p w:rsidR="00E06E6E" w:rsidRPr="00692A56" w:rsidRDefault="00E06E6E" w:rsidP="005F53F8">
      <w:pPr>
        <w:pStyle w:val="NoSpacing"/>
        <w:jc w:val="both"/>
        <w:rPr>
          <w:rFonts w:ascii="Times New Roman" w:hAnsi="Times New Roman"/>
          <w:b/>
          <w:sz w:val="24"/>
          <w:szCs w:val="24"/>
        </w:rPr>
      </w:pPr>
      <w:r w:rsidRPr="00692A56">
        <w:rPr>
          <w:rFonts w:ascii="Times New Roman" w:hAnsi="Times New Roman"/>
          <w:b/>
          <w:sz w:val="24"/>
          <w:szCs w:val="24"/>
        </w:rPr>
        <w:t>B13)</w:t>
      </w:r>
      <w:r w:rsidRPr="00692A56">
        <w:rPr>
          <w:rFonts w:ascii="Times New Roman" w:hAnsi="Times New Roman"/>
          <w:b/>
          <w:sz w:val="24"/>
          <w:szCs w:val="24"/>
        </w:rPr>
        <w:tab/>
        <w:t>Audit Report Qualifications</w:t>
      </w:r>
    </w:p>
    <w:p w:rsidR="00E06E6E" w:rsidRPr="00692A56" w:rsidRDefault="00E06E6E" w:rsidP="005F53F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Save for one of its subsidiary, the auditors’ report on the preceding audited financial statements of the Company and its subsidiaries for the financial year ended 31 December 2009 did not contain any qualification. The Board of Directors is taking active steps to resolve this matter.</w:t>
      </w:r>
    </w:p>
    <w:p w:rsidR="00E06E6E" w:rsidRPr="00692A56" w:rsidRDefault="00E06E6E" w:rsidP="005F53F8">
      <w:pPr>
        <w:pStyle w:val="NoSpacing"/>
        <w:jc w:val="both"/>
        <w:rPr>
          <w:rFonts w:ascii="Times New Roman" w:hAnsi="Times New Roman"/>
          <w:sz w:val="24"/>
          <w:szCs w:val="24"/>
        </w:rPr>
      </w:pPr>
    </w:p>
    <w:p w:rsidR="00E06E6E" w:rsidRPr="00692A56" w:rsidRDefault="00E06E6E" w:rsidP="005F53F8">
      <w:pPr>
        <w:pStyle w:val="NoSpacing"/>
        <w:jc w:val="both"/>
        <w:rPr>
          <w:rFonts w:ascii="Times New Roman" w:hAnsi="Times New Roman"/>
          <w:b/>
          <w:sz w:val="24"/>
          <w:szCs w:val="24"/>
        </w:rPr>
      </w:pPr>
      <w:r w:rsidRPr="00692A56">
        <w:rPr>
          <w:rFonts w:ascii="Times New Roman" w:hAnsi="Times New Roman"/>
          <w:b/>
          <w:sz w:val="24"/>
          <w:szCs w:val="24"/>
        </w:rPr>
        <w:t>B14)</w:t>
      </w:r>
      <w:r w:rsidRPr="00692A56">
        <w:rPr>
          <w:rFonts w:ascii="Times New Roman" w:hAnsi="Times New Roman"/>
          <w:b/>
          <w:sz w:val="24"/>
          <w:szCs w:val="24"/>
        </w:rPr>
        <w:tab/>
        <w:t>Authorization for Issue</w:t>
      </w:r>
    </w:p>
    <w:p w:rsidR="00E06E6E" w:rsidRPr="00692A56" w:rsidRDefault="00E06E6E" w:rsidP="005F53F8">
      <w:pPr>
        <w:pStyle w:val="NoSpacing"/>
        <w:jc w:val="both"/>
        <w:rPr>
          <w:rFonts w:ascii="Times New Roman" w:hAnsi="Times New Roman"/>
          <w:sz w:val="24"/>
          <w:szCs w:val="24"/>
        </w:rPr>
      </w:pP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The interim financial report was authorized for issue by the Board of Directors in accordance with a resolution of the Board.</w:t>
      </w:r>
    </w:p>
    <w:sectPr w:rsidR="00E06E6E" w:rsidRPr="00692A56" w:rsidSect="00842FCE">
      <w:footerReference w:type="default" r:id="rId8"/>
      <w:pgSz w:w="11909" w:h="16834" w:code="9"/>
      <w:pgMar w:top="63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61" w:rsidRDefault="00835761" w:rsidP="00866C59">
      <w:pPr>
        <w:spacing w:after="0" w:line="240" w:lineRule="auto"/>
      </w:pPr>
      <w:r>
        <w:separator/>
      </w:r>
    </w:p>
  </w:endnote>
  <w:endnote w:type="continuationSeparator" w:id="0">
    <w:p w:rsidR="00835761" w:rsidRDefault="00835761" w:rsidP="0086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7E" w:rsidRPr="00AA2714" w:rsidRDefault="00A25EBE">
    <w:pPr>
      <w:pStyle w:val="Footer"/>
      <w:jc w:val="center"/>
      <w:rPr>
        <w:rFonts w:ascii="Times New Roman" w:hAnsi="Times New Roman"/>
        <w:sz w:val="20"/>
        <w:szCs w:val="20"/>
      </w:rPr>
    </w:pPr>
    <w:r w:rsidRPr="00AA2714">
      <w:rPr>
        <w:rFonts w:ascii="Times New Roman" w:hAnsi="Times New Roman"/>
        <w:sz w:val="20"/>
        <w:szCs w:val="20"/>
      </w:rPr>
      <w:fldChar w:fldCharType="begin"/>
    </w:r>
    <w:r w:rsidR="0027787E" w:rsidRPr="00AA2714">
      <w:rPr>
        <w:rFonts w:ascii="Times New Roman" w:hAnsi="Times New Roman"/>
        <w:sz w:val="20"/>
        <w:szCs w:val="20"/>
      </w:rPr>
      <w:instrText xml:space="preserve"> PAGE   \* MERGEFORMAT </w:instrText>
    </w:r>
    <w:r w:rsidRPr="00AA2714">
      <w:rPr>
        <w:rFonts w:ascii="Times New Roman" w:hAnsi="Times New Roman"/>
        <w:sz w:val="20"/>
        <w:szCs w:val="20"/>
      </w:rPr>
      <w:fldChar w:fldCharType="separate"/>
    </w:r>
    <w:r w:rsidR="00AE2F97">
      <w:rPr>
        <w:rFonts w:ascii="Times New Roman" w:hAnsi="Times New Roman"/>
        <w:noProof/>
        <w:sz w:val="20"/>
        <w:szCs w:val="20"/>
      </w:rPr>
      <w:t>1</w:t>
    </w:r>
    <w:r w:rsidRPr="00AA2714">
      <w:rPr>
        <w:rFonts w:ascii="Times New Roman" w:hAnsi="Times New Roman"/>
        <w:sz w:val="20"/>
        <w:szCs w:val="20"/>
      </w:rPr>
      <w:fldChar w:fldCharType="end"/>
    </w:r>
  </w:p>
  <w:p w:rsidR="0027787E" w:rsidRDefault="00277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61" w:rsidRDefault="00835761" w:rsidP="00866C59">
      <w:pPr>
        <w:spacing w:after="0" w:line="240" w:lineRule="auto"/>
      </w:pPr>
      <w:r>
        <w:separator/>
      </w:r>
    </w:p>
  </w:footnote>
  <w:footnote w:type="continuationSeparator" w:id="0">
    <w:p w:rsidR="00835761" w:rsidRDefault="00835761" w:rsidP="00866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96C"/>
    <w:multiLevelType w:val="hybridMultilevel"/>
    <w:tmpl w:val="55EA4602"/>
    <w:lvl w:ilvl="0" w:tplc="671E7E8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DF2A28"/>
    <w:multiLevelType w:val="hybridMultilevel"/>
    <w:tmpl w:val="0AF478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BC15678"/>
    <w:multiLevelType w:val="hybridMultilevel"/>
    <w:tmpl w:val="EBCA53F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E437901"/>
    <w:multiLevelType w:val="hybridMultilevel"/>
    <w:tmpl w:val="D7EC2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C01FF0"/>
    <w:multiLevelType w:val="hybridMultilevel"/>
    <w:tmpl w:val="D9AE8176"/>
    <w:lvl w:ilvl="0" w:tplc="060C50A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E702CF"/>
    <w:multiLevelType w:val="hybridMultilevel"/>
    <w:tmpl w:val="FDD0C1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72D30F4"/>
    <w:multiLevelType w:val="hybridMultilevel"/>
    <w:tmpl w:val="56800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E93734"/>
    <w:multiLevelType w:val="hybridMultilevel"/>
    <w:tmpl w:val="11B81D3C"/>
    <w:lvl w:ilvl="0" w:tplc="671E7E8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267076"/>
    <w:multiLevelType w:val="hybridMultilevel"/>
    <w:tmpl w:val="3BB4BA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7"/>
  </w:num>
  <w:num w:numId="4">
    <w:abstractNumId w:val="5"/>
  </w:num>
  <w:num w:numId="5">
    <w:abstractNumId w:val="8"/>
  </w:num>
  <w:num w:numId="6">
    <w:abstractNumId w:val="3"/>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875E6"/>
    <w:rsid w:val="00002C4C"/>
    <w:rsid w:val="00004320"/>
    <w:rsid w:val="00011AEB"/>
    <w:rsid w:val="00015907"/>
    <w:rsid w:val="00050875"/>
    <w:rsid w:val="0005103A"/>
    <w:rsid w:val="000541FF"/>
    <w:rsid w:val="000616A7"/>
    <w:rsid w:val="000624C0"/>
    <w:rsid w:val="000765FF"/>
    <w:rsid w:val="000A18EE"/>
    <w:rsid w:val="000A21AB"/>
    <w:rsid w:val="000A51A5"/>
    <w:rsid w:val="000B1D14"/>
    <w:rsid w:val="000C5C4A"/>
    <w:rsid w:val="000D6E4E"/>
    <w:rsid w:val="000F247A"/>
    <w:rsid w:val="00117506"/>
    <w:rsid w:val="00142CB0"/>
    <w:rsid w:val="001450D7"/>
    <w:rsid w:val="00152243"/>
    <w:rsid w:val="0015470E"/>
    <w:rsid w:val="00156B66"/>
    <w:rsid w:val="001A5BFD"/>
    <w:rsid w:val="001B3D54"/>
    <w:rsid w:val="001C078F"/>
    <w:rsid w:val="001C5A1C"/>
    <w:rsid w:val="001D4F59"/>
    <w:rsid w:val="00204B56"/>
    <w:rsid w:val="00214EC3"/>
    <w:rsid w:val="00217E70"/>
    <w:rsid w:val="00227566"/>
    <w:rsid w:val="00255DB5"/>
    <w:rsid w:val="00275718"/>
    <w:rsid w:val="0027787E"/>
    <w:rsid w:val="0028450E"/>
    <w:rsid w:val="00291368"/>
    <w:rsid w:val="002B0D49"/>
    <w:rsid w:val="002B2AAE"/>
    <w:rsid w:val="002E19C6"/>
    <w:rsid w:val="00313297"/>
    <w:rsid w:val="00327E8E"/>
    <w:rsid w:val="0033700B"/>
    <w:rsid w:val="003748D0"/>
    <w:rsid w:val="00380622"/>
    <w:rsid w:val="00383D85"/>
    <w:rsid w:val="003875E6"/>
    <w:rsid w:val="003A2328"/>
    <w:rsid w:val="003B6C2C"/>
    <w:rsid w:val="003C2357"/>
    <w:rsid w:val="00407730"/>
    <w:rsid w:val="0041697F"/>
    <w:rsid w:val="00423EC5"/>
    <w:rsid w:val="0042543A"/>
    <w:rsid w:val="00431D08"/>
    <w:rsid w:val="00433D3D"/>
    <w:rsid w:val="00477C64"/>
    <w:rsid w:val="00496854"/>
    <w:rsid w:val="004B07E1"/>
    <w:rsid w:val="004C0464"/>
    <w:rsid w:val="004F5B6E"/>
    <w:rsid w:val="00504A82"/>
    <w:rsid w:val="005235CF"/>
    <w:rsid w:val="0053696F"/>
    <w:rsid w:val="00536E7B"/>
    <w:rsid w:val="0054132D"/>
    <w:rsid w:val="005644CE"/>
    <w:rsid w:val="0056473F"/>
    <w:rsid w:val="005A2E23"/>
    <w:rsid w:val="005C49BB"/>
    <w:rsid w:val="005D6329"/>
    <w:rsid w:val="005E0EA0"/>
    <w:rsid w:val="005F4725"/>
    <w:rsid w:val="005F53F8"/>
    <w:rsid w:val="00663742"/>
    <w:rsid w:val="006834BF"/>
    <w:rsid w:val="00692A56"/>
    <w:rsid w:val="00695BB7"/>
    <w:rsid w:val="006C467D"/>
    <w:rsid w:val="006D1CB8"/>
    <w:rsid w:val="006D6D07"/>
    <w:rsid w:val="006D758D"/>
    <w:rsid w:val="006E23C4"/>
    <w:rsid w:val="006E6EB8"/>
    <w:rsid w:val="006F2CD3"/>
    <w:rsid w:val="00700DCD"/>
    <w:rsid w:val="00715704"/>
    <w:rsid w:val="007604DE"/>
    <w:rsid w:val="0077679F"/>
    <w:rsid w:val="00796475"/>
    <w:rsid w:val="007B2DA5"/>
    <w:rsid w:val="007B617E"/>
    <w:rsid w:val="007D44B0"/>
    <w:rsid w:val="007F2323"/>
    <w:rsid w:val="008064B2"/>
    <w:rsid w:val="00807FE3"/>
    <w:rsid w:val="008113C2"/>
    <w:rsid w:val="0082268A"/>
    <w:rsid w:val="00835761"/>
    <w:rsid w:val="00842FCE"/>
    <w:rsid w:val="0086478E"/>
    <w:rsid w:val="00866C59"/>
    <w:rsid w:val="008738FE"/>
    <w:rsid w:val="008830F2"/>
    <w:rsid w:val="008A276A"/>
    <w:rsid w:val="008B7F68"/>
    <w:rsid w:val="008D0B13"/>
    <w:rsid w:val="008F6AF4"/>
    <w:rsid w:val="009135FD"/>
    <w:rsid w:val="00941BE3"/>
    <w:rsid w:val="00946471"/>
    <w:rsid w:val="009567ED"/>
    <w:rsid w:val="00960808"/>
    <w:rsid w:val="009753E8"/>
    <w:rsid w:val="009B6E30"/>
    <w:rsid w:val="009C3FEC"/>
    <w:rsid w:val="009D6A61"/>
    <w:rsid w:val="009F59E6"/>
    <w:rsid w:val="00A00EED"/>
    <w:rsid w:val="00A06733"/>
    <w:rsid w:val="00A25EBE"/>
    <w:rsid w:val="00A4344A"/>
    <w:rsid w:val="00A7231C"/>
    <w:rsid w:val="00AA2714"/>
    <w:rsid w:val="00AB5E38"/>
    <w:rsid w:val="00AC675C"/>
    <w:rsid w:val="00AE2F97"/>
    <w:rsid w:val="00B02684"/>
    <w:rsid w:val="00B16ECE"/>
    <w:rsid w:val="00B40892"/>
    <w:rsid w:val="00B73612"/>
    <w:rsid w:val="00B8067E"/>
    <w:rsid w:val="00B87CF1"/>
    <w:rsid w:val="00BC4AD3"/>
    <w:rsid w:val="00BD16ED"/>
    <w:rsid w:val="00C1770B"/>
    <w:rsid w:val="00C30688"/>
    <w:rsid w:val="00C31B60"/>
    <w:rsid w:val="00C45695"/>
    <w:rsid w:val="00C5316B"/>
    <w:rsid w:val="00C53994"/>
    <w:rsid w:val="00C561BE"/>
    <w:rsid w:val="00C630EB"/>
    <w:rsid w:val="00C65B7C"/>
    <w:rsid w:val="00C665FF"/>
    <w:rsid w:val="00C85C97"/>
    <w:rsid w:val="00CA6A69"/>
    <w:rsid w:val="00CB2B27"/>
    <w:rsid w:val="00CD13F2"/>
    <w:rsid w:val="00CD5D84"/>
    <w:rsid w:val="00CD6EDD"/>
    <w:rsid w:val="00CF0A88"/>
    <w:rsid w:val="00D04208"/>
    <w:rsid w:val="00D36638"/>
    <w:rsid w:val="00D70DCE"/>
    <w:rsid w:val="00D712D9"/>
    <w:rsid w:val="00DB12BA"/>
    <w:rsid w:val="00DC0FC4"/>
    <w:rsid w:val="00E06E6E"/>
    <w:rsid w:val="00E13209"/>
    <w:rsid w:val="00E21133"/>
    <w:rsid w:val="00E373B4"/>
    <w:rsid w:val="00E707F0"/>
    <w:rsid w:val="00EC05A4"/>
    <w:rsid w:val="00EC0F38"/>
    <w:rsid w:val="00ED3B7D"/>
    <w:rsid w:val="00EE5E07"/>
    <w:rsid w:val="00F0227D"/>
    <w:rsid w:val="00F14F9A"/>
    <w:rsid w:val="00F27C81"/>
    <w:rsid w:val="00F647CC"/>
    <w:rsid w:val="00F82B90"/>
    <w:rsid w:val="00FB2D5A"/>
    <w:rsid w:val="00FD34FA"/>
    <w:rsid w:val="00FE3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PMingLiU" w:hAnsi="Arial"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75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875E6"/>
  </w:style>
  <w:style w:type="paragraph" w:styleId="Header">
    <w:name w:val="header"/>
    <w:basedOn w:val="Normal"/>
    <w:link w:val="HeaderChar"/>
    <w:uiPriority w:val="99"/>
    <w:semiHidden/>
    <w:rsid w:val="00866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6C59"/>
    <w:rPr>
      <w:rFonts w:cs="Times New Roman"/>
    </w:rPr>
  </w:style>
  <w:style w:type="paragraph" w:styleId="Footer">
    <w:name w:val="footer"/>
    <w:basedOn w:val="Normal"/>
    <w:link w:val="FooterChar"/>
    <w:uiPriority w:val="99"/>
    <w:rsid w:val="00866C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6C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F280-ECE7-4C94-B7D6-B33125BA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Hooi Ching</dc:creator>
  <cp:lastModifiedBy> </cp:lastModifiedBy>
  <cp:revision>2</cp:revision>
  <cp:lastPrinted>2010-08-26T06:03:00Z</cp:lastPrinted>
  <dcterms:created xsi:type="dcterms:W3CDTF">2010-08-30T04:41:00Z</dcterms:created>
  <dcterms:modified xsi:type="dcterms:W3CDTF">2010-08-30T04:41:00Z</dcterms:modified>
</cp:coreProperties>
</file>